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1B3" w:rsidRDefault="003A01B3" w:rsidP="00D067DB">
      <w:pPr>
        <w:pStyle w:val="a3"/>
        <w:ind w:firstLine="0"/>
        <w:jc w:val="center"/>
        <w:rPr>
          <w:b/>
        </w:rPr>
      </w:pPr>
      <w:r w:rsidRPr="00F51D89">
        <w:rPr>
          <w:b/>
        </w:rPr>
        <w:t xml:space="preserve">Общая информация </w:t>
      </w:r>
    </w:p>
    <w:p w:rsidR="00F51D89" w:rsidRPr="00F51D89" w:rsidRDefault="00F51D89" w:rsidP="00D067DB">
      <w:pPr>
        <w:pStyle w:val="a3"/>
        <w:ind w:firstLine="0"/>
        <w:jc w:val="center"/>
        <w:rPr>
          <w:b/>
        </w:rPr>
      </w:pPr>
    </w:p>
    <w:p w:rsidR="003A01B3" w:rsidRDefault="003A01B3" w:rsidP="00F51D89">
      <w:pPr>
        <w:pStyle w:val="a3"/>
        <w:ind w:firstLine="708"/>
      </w:pPr>
      <w:r w:rsidRPr="003A01B3">
        <w:rPr>
          <w:b/>
        </w:rPr>
        <w:t>Бюджет</w:t>
      </w:r>
      <w:r>
        <w:t xml:space="preserve"> – план формирования и использования денежных средств для обеспечения реализации задач и функций государства, принимаемый на один финансовый год и действующий с 1 января по 31 декабря календарного года. </w:t>
      </w:r>
    </w:p>
    <w:p w:rsidR="003A01B3" w:rsidRDefault="003A01B3" w:rsidP="00F51D89">
      <w:pPr>
        <w:pStyle w:val="a3"/>
        <w:ind w:firstLine="708"/>
      </w:pPr>
      <w:r>
        <w:rPr>
          <w:b/>
        </w:rPr>
        <w:t xml:space="preserve">Бюджетный </w:t>
      </w:r>
      <w:r w:rsidRPr="003A01B3">
        <w:rPr>
          <w:b/>
        </w:rPr>
        <w:t>процесс</w:t>
      </w:r>
      <w:r w:rsidR="00F51D89">
        <w:rPr>
          <w:b/>
        </w:rPr>
        <w:t xml:space="preserve"> </w:t>
      </w:r>
      <w:r w:rsidR="00F51D89">
        <w:t>–</w:t>
      </w:r>
      <w:r>
        <w:t xml:space="preserve"> деятельность по составлению, рассмотрению, утверждению и исполнению бюджетов, контролю за их исполнением, а также составлению, рассмотрению и утверждению отчетов об их исполнении. В бюджетном процессе участвуют Президент, Правительство, местные Советы депутатов, местные исполнительные и распорядительные органы, органы Комитета государственного контроля, иные государственные органы, а также распорядители и получатели бюджетных средств. </w:t>
      </w:r>
    </w:p>
    <w:p w:rsidR="003A01B3" w:rsidRDefault="003A01B3" w:rsidP="00F51D89">
      <w:pPr>
        <w:pStyle w:val="a3"/>
        <w:ind w:firstLine="708"/>
      </w:pPr>
      <w:r w:rsidRPr="003A01B3">
        <w:rPr>
          <w:b/>
        </w:rPr>
        <w:t>Доходы бюджета</w:t>
      </w:r>
      <w:r>
        <w:t xml:space="preserve"> – поступающие в бюджет денежные средства.</w:t>
      </w:r>
      <w:r w:rsidR="00F51D89">
        <w:t xml:space="preserve"> </w:t>
      </w:r>
      <w:r>
        <w:t xml:space="preserve">Доходы бюджета формируются за счет: </w:t>
      </w:r>
    </w:p>
    <w:p w:rsidR="003A01B3" w:rsidRPr="003A01B3" w:rsidRDefault="003A01B3" w:rsidP="00F51D89">
      <w:pPr>
        <w:pStyle w:val="a3"/>
        <w:ind w:firstLine="708"/>
      </w:pPr>
      <w:r>
        <w:t xml:space="preserve">*налоговых доходов;  </w:t>
      </w:r>
    </w:p>
    <w:p w:rsidR="003A01B3" w:rsidRDefault="003A01B3" w:rsidP="00F51D89">
      <w:pPr>
        <w:pStyle w:val="a3"/>
        <w:ind w:firstLine="708"/>
      </w:pPr>
      <w:r>
        <w:t xml:space="preserve">*неналоговых доходов; </w:t>
      </w:r>
    </w:p>
    <w:p w:rsidR="003A01B3" w:rsidRDefault="003A01B3" w:rsidP="00F51D89">
      <w:pPr>
        <w:pStyle w:val="a3"/>
        <w:ind w:firstLine="708"/>
      </w:pPr>
      <w:r>
        <w:t xml:space="preserve">*безвозмездных поступлений. </w:t>
      </w:r>
    </w:p>
    <w:p w:rsidR="003A01B3" w:rsidRDefault="003A01B3" w:rsidP="00F51D89">
      <w:pPr>
        <w:pStyle w:val="a3"/>
        <w:ind w:firstLine="708"/>
      </w:pPr>
      <w:r>
        <w:t xml:space="preserve">Для обеспечения соответствия между полномочиями государственных органов на осуществление расходов, закрепленных за республиканским и местными бюджетами, и бюджетными ресурсами, которые должны обеспечивать исполнение этих полномочий, предусматривается предоставление </w:t>
      </w:r>
      <w:r w:rsidRPr="00F51D89">
        <w:rPr>
          <w:b/>
        </w:rPr>
        <w:t>межбюджетных трансфертов</w:t>
      </w:r>
      <w:r>
        <w:t xml:space="preserve"> – бюджетных средств, передаваемых из одного бюджета в другой бюджет на безвозвратной и безвозмездной основе. </w:t>
      </w:r>
    </w:p>
    <w:p w:rsidR="003A01B3" w:rsidRDefault="003A01B3" w:rsidP="00F51D89">
      <w:pPr>
        <w:pStyle w:val="a3"/>
        <w:ind w:firstLine="708"/>
      </w:pPr>
      <w:r>
        <w:t xml:space="preserve">При недостаточности в нижестоящем бюджете собственных доходов для финансирования его расходов в целях обеспечения сбалансированности из вышестоящего в нижестоящий бюджет передается межбюджетный трансферт в виде </w:t>
      </w:r>
      <w:r w:rsidRPr="00F51D89">
        <w:rPr>
          <w:b/>
        </w:rPr>
        <w:t>дотации</w:t>
      </w:r>
      <w:r>
        <w:t xml:space="preserve">. Соотношение между доходной и расходной частями бюджета определяет итоговое сальдо бюджета. В зависимости от величины этого сальдо бюджет может быть сбалансированным, профицитным или дефицитным. </w:t>
      </w:r>
    </w:p>
    <w:p w:rsidR="003A01B3" w:rsidRDefault="003A01B3" w:rsidP="00F51D89">
      <w:pPr>
        <w:pStyle w:val="a3"/>
        <w:ind w:firstLine="708"/>
      </w:pPr>
      <w:r w:rsidRPr="003A01B3">
        <w:rPr>
          <w:b/>
        </w:rPr>
        <w:t>Расходы бюджета</w:t>
      </w:r>
      <w:r>
        <w:t xml:space="preserve"> – денежные средства, направляемые на финансовое обеспечение задач и функций государства. </w:t>
      </w:r>
    </w:p>
    <w:p w:rsidR="003A01B3" w:rsidRDefault="003A01B3" w:rsidP="00F51D89">
      <w:pPr>
        <w:pStyle w:val="a3"/>
        <w:ind w:firstLine="708"/>
      </w:pPr>
      <w:r w:rsidRPr="003A01B3">
        <w:rPr>
          <w:b/>
        </w:rPr>
        <w:t>Профицит</w:t>
      </w:r>
      <w:r>
        <w:t xml:space="preserve"> бюджета – превышение доходов над расходами. </w:t>
      </w:r>
    </w:p>
    <w:p w:rsidR="003A01B3" w:rsidRDefault="003A01B3" w:rsidP="00F51D89">
      <w:pPr>
        <w:pStyle w:val="a3"/>
        <w:ind w:firstLine="708"/>
      </w:pPr>
      <w:r w:rsidRPr="003A01B3">
        <w:rPr>
          <w:b/>
        </w:rPr>
        <w:t>Дефицит</w:t>
      </w:r>
      <w:r>
        <w:t xml:space="preserve"> бюджета – превышение расходов бюджета над его доходами. </w:t>
      </w:r>
    </w:p>
    <w:p w:rsidR="003A01B3" w:rsidRDefault="003A01B3" w:rsidP="00F51D89">
      <w:pPr>
        <w:pStyle w:val="a3"/>
        <w:ind w:firstLine="708"/>
      </w:pPr>
      <w:r>
        <w:t xml:space="preserve">Все доходы, расходы, источники финансирования дефицита (направления использования профицита) бюджета структурированы в единой бюджетной классификации Республики Беларусь. </w:t>
      </w:r>
    </w:p>
    <w:p w:rsidR="003A01B3" w:rsidRDefault="003A01B3" w:rsidP="00F51D89">
      <w:pPr>
        <w:pStyle w:val="a3"/>
        <w:ind w:firstLine="708"/>
      </w:pPr>
      <w:r w:rsidRPr="003A01B3">
        <w:rPr>
          <w:b/>
        </w:rPr>
        <w:t>Бюджетная</w:t>
      </w:r>
      <w:r>
        <w:t xml:space="preserve"> классификация – это группировка доходов, расходов, источников финансирования дефицита (направлений использования </w:t>
      </w:r>
      <w:r>
        <w:lastRenderedPageBreak/>
        <w:t>профицита) бюджета всех уровней бюджетной системы, используемая для составления и исполнения бюджетов всех уровней бюджетной системы.</w:t>
      </w:r>
    </w:p>
    <w:p w:rsidR="003A01B3" w:rsidRDefault="003A01B3" w:rsidP="00D067DB">
      <w:pPr>
        <w:pStyle w:val="a3"/>
        <w:ind w:firstLine="0"/>
        <w:jc w:val="center"/>
        <w:rPr>
          <w:b/>
          <w:szCs w:val="30"/>
        </w:rPr>
      </w:pPr>
    </w:p>
    <w:p w:rsidR="005F7862" w:rsidRPr="00D067DB" w:rsidRDefault="007B631D" w:rsidP="00D067DB">
      <w:pPr>
        <w:pStyle w:val="a3"/>
        <w:ind w:firstLine="0"/>
        <w:jc w:val="center"/>
        <w:rPr>
          <w:b/>
          <w:szCs w:val="30"/>
        </w:rPr>
      </w:pPr>
      <w:r w:rsidRPr="00D067DB">
        <w:rPr>
          <w:b/>
          <w:szCs w:val="30"/>
        </w:rPr>
        <w:t xml:space="preserve">КОНСОЛИДИРОВАННЫЙ БЮДЖЕТ </w:t>
      </w:r>
      <w:r w:rsidR="007D768F">
        <w:rPr>
          <w:b/>
          <w:szCs w:val="30"/>
        </w:rPr>
        <w:t>КОБРИНСКОГО РАЙОНА</w:t>
      </w:r>
      <w:r w:rsidR="005F7862" w:rsidRPr="00D067DB">
        <w:rPr>
          <w:b/>
          <w:szCs w:val="30"/>
        </w:rPr>
        <w:t xml:space="preserve"> </w:t>
      </w:r>
    </w:p>
    <w:p w:rsidR="004A6A72" w:rsidRPr="00D067DB" w:rsidRDefault="001322D4" w:rsidP="00D067DB">
      <w:pPr>
        <w:pStyle w:val="a3"/>
        <w:ind w:firstLine="0"/>
        <w:jc w:val="center"/>
        <w:rPr>
          <w:b/>
          <w:szCs w:val="30"/>
        </w:rPr>
      </w:pPr>
      <w:r>
        <w:rPr>
          <w:b/>
          <w:szCs w:val="30"/>
        </w:rPr>
        <w:t>НА</w:t>
      </w:r>
      <w:r w:rsidR="00123B99">
        <w:rPr>
          <w:b/>
          <w:szCs w:val="30"/>
        </w:rPr>
        <w:t xml:space="preserve"> 20</w:t>
      </w:r>
      <w:r w:rsidR="003A01B3">
        <w:rPr>
          <w:b/>
          <w:szCs w:val="30"/>
        </w:rPr>
        <w:t>21</w:t>
      </w:r>
      <w:r w:rsidR="005F7862" w:rsidRPr="00D067DB">
        <w:rPr>
          <w:b/>
          <w:szCs w:val="30"/>
        </w:rPr>
        <w:t xml:space="preserve"> ГОД</w:t>
      </w:r>
    </w:p>
    <w:p w:rsidR="001322D4" w:rsidRPr="00F23415" w:rsidRDefault="001322D4" w:rsidP="001322D4">
      <w:pPr>
        <w:pStyle w:val="a3"/>
        <w:ind w:firstLine="0"/>
        <w:jc w:val="center"/>
        <w:rPr>
          <w:b/>
          <w:szCs w:val="30"/>
        </w:rPr>
      </w:pPr>
    </w:p>
    <w:p w:rsidR="001322D4" w:rsidRDefault="001322D4" w:rsidP="001322D4">
      <w:pPr>
        <w:pStyle w:val="a3"/>
        <w:ind w:firstLine="0"/>
        <w:jc w:val="center"/>
        <w:rPr>
          <w:b/>
          <w:szCs w:val="30"/>
        </w:rPr>
      </w:pPr>
      <w:r w:rsidRPr="00F23415">
        <w:rPr>
          <w:b/>
          <w:szCs w:val="30"/>
        </w:rPr>
        <w:t>Доходы</w:t>
      </w:r>
    </w:p>
    <w:p w:rsidR="00EC7D34" w:rsidRPr="00F23415" w:rsidRDefault="00EC7D34" w:rsidP="001322D4">
      <w:pPr>
        <w:pStyle w:val="a3"/>
        <w:ind w:firstLine="0"/>
        <w:jc w:val="center"/>
        <w:rPr>
          <w:b/>
          <w:szCs w:val="30"/>
        </w:rPr>
      </w:pPr>
    </w:p>
    <w:p w:rsidR="003A01B3" w:rsidRPr="007C3F6B" w:rsidRDefault="003A01B3" w:rsidP="003A01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B0371">
        <w:rPr>
          <w:rFonts w:ascii="Times New Roman" w:hAnsi="Times New Roman"/>
          <w:sz w:val="30"/>
          <w:szCs w:val="30"/>
        </w:rPr>
        <w:t xml:space="preserve">В основу формирования бюджета района на 2021 год положены расчетные показатели по доходам и расходам бюджета, доведенные главным финансовым управлением Брестского областного исполнительного комитета, параметры социально-экономического развития и денежно-кредитной политики Республики Беларусь на </w:t>
      </w:r>
      <w:r w:rsidRPr="00DB0371">
        <w:rPr>
          <w:rFonts w:ascii="Times New Roman" w:hAnsi="Times New Roman"/>
          <w:sz w:val="30"/>
          <w:szCs w:val="30"/>
        </w:rPr>
        <w:br/>
        <w:t xml:space="preserve">2021 год, изменения налогового законодательства, а также ожидаемое исполнение районного бюджета и бюджетов 11 сельских </w:t>
      </w:r>
      <w:r>
        <w:rPr>
          <w:rFonts w:ascii="Times New Roman" w:hAnsi="Times New Roman"/>
          <w:sz w:val="30"/>
          <w:szCs w:val="30"/>
        </w:rPr>
        <w:t>бюджетов</w:t>
      </w:r>
      <w:r w:rsidRPr="00DB0371">
        <w:rPr>
          <w:rFonts w:ascii="Times New Roman" w:hAnsi="Times New Roman"/>
          <w:sz w:val="30"/>
          <w:szCs w:val="30"/>
        </w:rPr>
        <w:t xml:space="preserve"> района в 2020 году.</w:t>
      </w:r>
    </w:p>
    <w:p w:rsidR="003A01B3" w:rsidRPr="000C351B" w:rsidRDefault="003A01B3" w:rsidP="003A01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C351B">
        <w:rPr>
          <w:rFonts w:ascii="Times New Roman" w:hAnsi="Times New Roman"/>
          <w:sz w:val="30"/>
          <w:szCs w:val="30"/>
        </w:rPr>
        <w:t>В соответствии с п. 4</w:t>
      </w:r>
      <w:r w:rsidRPr="000C351B">
        <w:rPr>
          <w:rFonts w:ascii="Times New Roman" w:hAnsi="Times New Roman"/>
          <w:sz w:val="30"/>
          <w:szCs w:val="30"/>
          <w:vertAlign w:val="superscript"/>
        </w:rPr>
        <w:t xml:space="preserve"> </w:t>
      </w:r>
      <w:r w:rsidRPr="000C351B">
        <w:rPr>
          <w:rFonts w:ascii="Times New Roman" w:hAnsi="Times New Roman"/>
          <w:sz w:val="30"/>
          <w:szCs w:val="30"/>
        </w:rPr>
        <w:t>ст. 28 Бюджетного кодекса установлены нормативы отчислений в бюджеты первичного уровня подоходного налога с физических лиц, в процентах от поступлений на территории Кобринского района.</w:t>
      </w:r>
    </w:p>
    <w:p w:rsidR="003A01B3" w:rsidRPr="00587F38" w:rsidRDefault="003A01B3" w:rsidP="003A01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407D8">
        <w:rPr>
          <w:rFonts w:ascii="Times New Roman" w:hAnsi="Times New Roman"/>
          <w:sz w:val="30"/>
          <w:szCs w:val="30"/>
        </w:rPr>
        <w:t xml:space="preserve">Объем консолидированного бюджета района на 2021 год определен по доходам и расходам в сумме 124 818,3 тыс. рублей </w:t>
      </w:r>
      <w:r w:rsidRPr="00587F38">
        <w:rPr>
          <w:rFonts w:ascii="Times New Roman" w:hAnsi="Times New Roman"/>
          <w:sz w:val="30"/>
          <w:szCs w:val="30"/>
        </w:rPr>
        <w:t>и является бездефицитным, в том числе:</w:t>
      </w:r>
    </w:p>
    <w:p w:rsidR="003A01B3" w:rsidRPr="00587F38" w:rsidRDefault="003A01B3" w:rsidP="003A01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87F38">
        <w:rPr>
          <w:rFonts w:ascii="Times New Roman" w:hAnsi="Times New Roman"/>
          <w:sz w:val="30"/>
          <w:szCs w:val="30"/>
        </w:rPr>
        <w:t>районный бюджет без средств, передаваемых в сельские бюджеты (618 291,00 рублей), сформирован в сумме 123 244,2 тыс. рублей и является бездефицитным;</w:t>
      </w:r>
    </w:p>
    <w:p w:rsidR="003A01B3" w:rsidRPr="00587F38" w:rsidRDefault="003A01B3" w:rsidP="003A01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87F38">
        <w:rPr>
          <w:rFonts w:ascii="Times New Roman" w:hAnsi="Times New Roman"/>
          <w:sz w:val="30"/>
          <w:szCs w:val="30"/>
        </w:rPr>
        <w:t>сельские бюджеты определены из объемов доходов и расходов в сумме 1 574,1 тыс. рублей и являются бездефицитными.</w:t>
      </w:r>
    </w:p>
    <w:p w:rsidR="003A01B3" w:rsidRDefault="003A01B3" w:rsidP="003A01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805FB">
        <w:rPr>
          <w:rFonts w:ascii="Times New Roman" w:hAnsi="Times New Roman"/>
          <w:sz w:val="30"/>
          <w:szCs w:val="30"/>
        </w:rPr>
        <w:t>По прогнозу собственные доходы консолидированного бюджета района в 2021 году ожидаются в размере 82 750,5 тыс. рублей</w:t>
      </w:r>
      <w:r>
        <w:rPr>
          <w:rFonts w:ascii="Times New Roman" w:hAnsi="Times New Roman"/>
          <w:sz w:val="30"/>
          <w:szCs w:val="30"/>
        </w:rPr>
        <w:t>, в том числе:</w:t>
      </w:r>
      <w:r w:rsidRPr="004805FB">
        <w:rPr>
          <w:rFonts w:ascii="Times New Roman" w:hAnsi="Times New Roman"/>
          <w:sz w:val="30"/>
          <w:szCs w:val="30"/>
        </w:rPr>
        <w:t xml:space="preserve"> </w:t>
      </w:r>
      <w:r w:rsidRPr="003A01B3">
        <w:rPr>
          <w:rFonts w:ascii="Times New Roman" w:hAnsi="Times New Roman"/>
          <w:b/>
          <w:sz w:val="30"/>
          <w:szCs w:val="30"/>
        </w:rPr>
        <w:t>налоговые</w:t>
      </w:r>
      <w:r w:rsidRPr="00AB10D6">
        <w:rPr>
          <w:rFonts w:ascii="Times New Roman" w:hAnsi="Times New Roman"/>
          <w:sz w:val="30"/>
          <w:szCs w:val="30"/>
        </w:rPr>
        <w:t xml:space="preserve"> доходы определены в сумме 76 744,4 тыс. рублей </w:t>
      </w:r>
      <w:r>
        <w:rPr>
          <w:rFonts w:ascii="Times New Roman" w:hAnsi="Times New Roman"/>
          <w:sz w:val="30"/>
          <w:szCs w:val="30"/>
        </w:rPr>
        <w:t>и</w:t>
      </w:r>
      <w:r w:rsidRPr="00AB10D6">
        <w:rPr>
          <w:rFonts w:ascii="Times New Roman" w:hAnsi="Times New Roman"/>
          <w:sz w:val="30"/>
          <w:szCs w:val="30"/>
        </w:rPr>
        <w:t xml:space="preserve"> </w:t>
      </w:r>
      <w:r w:rsidRPr="003A01B3">
        <w:rPr>
          <w:rFonts w:ascii="Times New Roman" w:hAnsi="Times New Roman"/>
          <w:b/>
          <w:sz w:val="30"/>
          <w:szCs w:val="30"/>
        </w:rPr>
        <w:t>неналоговые</w:t>
      </w:r>
      <w:r w:rsidRPr="00AB10D6">
        <w:rPr>
          <w:rFonts w:ascii="Times New Roman" w:hAnsi="Times New Roman"/>
          <w:sz w:val="30"/>
          <w:szCs w:val="30"/>
        </w:rPr>
        <w:t xml:space="preserve"> доходы – 6 006,1</w:t>
      </w:r>
      <w:r>
        <w:rPr>
          <w:rFonts w:ascii="Times New Roman" w:hAnsi="Times New Roman"/>
          <w:sz w:val="30"/>
          <w:szCs w:val="30"/>
        </w:rPr>
        <w:t> тыс. рублей</w:t>
      </w:r>
      <w:r w:rsidRPr="00AB10D6">
        <w:rPr>
          <w:rFonts w:ascii="Times New Roman" w:hAnsi="Times New Roman"/>
          <w:sz w:val="30"/>
          <w:szCs w:val="30"/>
        </w:rPr>
        <w:t>.</w:t>
      </w:r>
    </w:p>
    <w:p w:rsidR="00691D18" w:rsidRPr="003C6326" w:rsidRDefault="00691D18" w:rsidP="00691D18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C6326">
        <w:rPr>
          <w:rFonts w:ascii="Times New Roman" w:hAnsi="Times New Roman"/>
          <w:sz w:val="30"/>
          <w:szCs w:val="30"/>
        </w:rPr>
        <w:t>Бюджету района в 2021 году из областного бюджета передаются безвозмездные поступления в сумме 42 067,8 тыс. рублей, в том числе дотация в сумме 41 345,0 тыс. рублей, с</w:t>
      </w:r>
      <w:r w:rsidRPr="003C6326">
        <w:rPr>
          <w:rFonts w:ascii="Times New Roman" w:hAnsi="Times New Roman"/>
          <w:iCs/>
          <w:sz w:val="30"/>
          <w:szCs w:val="30"/>
        </w:rPr>
        <w:t xml:space="preserve">убвенции на финансирование расходов по развитию сельского хозяйства и рыбохозяйственной деятельности в сумме </w:t>
      </w:r>
      <w:r w:rsidRPr="003C6326">
        <w:rPr>
          <w:rFonts w:ascii="Times New Roman" w:hAnsi="Times New Roman"/>
          <w:sz w:val="30"/>
          <w:szCs w:val="30"/>
        </w:rPr>
        <w:t>722,8 тыс. рублей.</w:t>
      </w:r>
    </w:p>
    <w:p w:rsidR="003A01B3" w:rsidRPr="00A65C2A" w:rsidRDefault="003A01B3" w:rsidP="003A01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65C2A">
        <w:rPr>
          <w:rFonts w:ascii="Times New Roman" w:hAnsi="Times New Roman"/>
          <w:sz w:val="30"/>
          <w:szCs w:val="30"/>
        </w:rPr>
        <w:t xml:space="preserve">Расчетные показатели по собственным доходам бюджета на </w:t>
      </w:r>
      <w:r w:rsidR="00F51D89">
        <w:rPr>
          <w:rFonts w:ascii="Times New Roman" w:hAnsi="Times New Roman"/>
          <w:sz w:val="30"/>
          <w:szCs w:val="30"/>
        </w:rPr>
        <w:br/>
      </w:r>
      <w:r w:rsidRPr="00A65C2A">
        <w:rPr>
          <w:rFonts w:ascii="Times New Roman" w:hAnsi="Times New Roman"/>
          <w:sz w:val="30"/>
          <w:szCs w:val="30"/>
        </w:rPr>
        <w:t xml:space="preserve">2021 год сформированы с учетом дополнительных поступлений от применения повышающих коэффициентов (2,0), установленных Кобринским районным Советом депутатов, к ставкам налога на недвижимость и земельного налога без учета дополнительных </w:t>
      </w:r>
      <w:r w:rsidRPr="00A65C2A">
        <w:rPr>
          <w:rFonts w:ascii="Times New Roman" w:hAnsi="Times New Roman"/>
          <w:sz w:val="30"/>
          <w:szCs w:val="30"/>
        </w:rPr>
        <w:lastRenderedPageBreak/>
        <w:t>поступлений по имущественным налогам РУП «Белоруснефть-</w:t>
      </w:r>
      <w:proofErr w:type="spellStart"/>
      <w:r w:rsidRPr="00A65C2A">
        <w:rPr>
          <w:rFonts w:ascii="Times New Roman" w:hAnsi="Times New Roman"/>
          <w:sz w:val="30"/>
          <w:szCs w:val="30"/>
        </w:rPr>
        <w:t>Брестоблнефтепродукт</w:t>
      </w:r>
      <w:proofErr w:type="spellEnd"/>
      <w:r w:rsidRPr="00A65C2A">
        <w:rPr>
          <w:rFonts w:ascii="Times New Roman" w:hAnsi="Times New Roman"/>
          <w:sz w:val="30"/>
          <w:szCs w:val="30"/>
        </w:rPr>
        <w:t>».</w:t>
      </w:r>
    </w:p>
    <w:p w:rsidR="003A01B3" w:rsidRPr="00A65C2A" w:rsidRDefault="003A01B3" w:rsidP="003A01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65C2A">
        <w:rPr>
          <w:rFonts w:ascii="Times New Roman" w:hAnsi="Times New Roman"/>
          <w:sz w:val="30"/>
          <w:szCs w:val="30"/>
        </w:rPr>
        <w:t xml:space="preserve">На 2021 год изменен норматив отчислений в бюджет Кобринского района налога на добавленную стоимость, исходя из численности населения, постоянно проживающего на территории Кобринского района. Норматив отчислений составил 3,008 процента. </w:t>
      </w:r>
    </w:p>
    <w:p w:rsidR="003A01B3" w:rsidRPr="00A65C2A" w:rsidRDefault="003A01B3" w:rsidP="003A01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65C2A">
        <w:rPr>
          <w:rFonts w:ascii="Times New Roman" w:hAnsi="Times New Roman"/>
          <w:sz w:val="30"/>
          <w:szCs w:val="30"/>
        </w:rPr>
        <w:t>В налоговой политике, в условиях складывающейся экономической ситуации, и в целях формирования необходимой доходной базы бюджета Законом Республики Беларусь от 29 декабря 2020 г. № 72-З «Об изменении Налогового кодекса Республики Беларусь» предусматривается:</w:t>
      </w:r>
    </w:p>
    <w:p w:rsidR="003A01B3" w:rsidRPr="00F51D89" w:rsidRDefault="003A01B3" w:rsidP="003A01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sz w:val="30"/>
          <w:szCs w:val="30"/>
        </w:rPr>
      </w:pPr>
      <w:r w:rsidRPr="00F51D89">
        <w:rPr>
          <w:rFonts w:ascii="Times New Roman" w:hAnsi="Times New Roman"/>
          <w:i/>
          <w:sz w:val="30"/>
          <w:szCs w:val="30"/>
        </w:rPr>
        <w:t>индексация на прогнозные темпы инфляции ставок налогов, установленных в белорусских рублях (земельного, налога за добычу (изъятие) природных ресурсов, подоходного налога с физических лиц в фиксированных суммах и единого налога с индивидуальных предпринимателей и иных физических лиц);</w:t>
      </w:r>
    </w:p>
    <w:p w:rsidR="003A01B3" w:rsidRPr="00F51D89" w:rsidRDefault="003A01B3" w:rsidP="003A01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sz w:val="30"/>
          <w:szCs w:val="30"/>
        </w:rPr>
      </w:pPr>
      <w:r w:rsidRPr="00F51D89">
        <w:rPr>
          <w:rFonts w:ascii="Times New Roman" w:hAnsi="Times New Roman"/>
          <w:i/>
          <w:sz w:val="30"/>
          <w:szCs w:val="30"/>
        </w:rPr>
        <w:t xml:space="preserve">повышение отдельных ставок налогов, сборов (сбора за осуществление ремесленной деятельности и сбора за осуществление деятельности по оказанию услуг в сфере </w:t>
      </w:r>
      <w:proofErr w:type="spellStart"/>
      <w:r w:rsidRPr="00F51D89">
        <w:rPr>
          <w:rFonts w:ascii="Times New Roman" w:hAnsi="Times New Roman"/>
          <w:i/>
          <w:sz w:val="30"/>
          <w:szCs w:val="30"/>
        </w:rPr>
        <w:t>агроэкотуризма</w:t>
      </w:r>
      <w:proofErr w:type="spellEnd"/>
      <w:r w:rsidRPr="00F51D89">
        <w:rPr>
          <w:rFonts w:ascii="Times New Roman" w:hAnsi="Times New Roman"/>
          <w:i/>
          <w:sz w:val="30"/>
          <w:szCs w:val="30"/>
        </w:rPr>
        <w:t xml:space="preserve"> – с 1 до 2 базовых величин);</w:t>
      </w:r>
    </w:p>
    <w:p w:rsidR="003A01B3" w:rsidRPr="00F51D89" w:rsidRDefault="003A01B3" w:rsidP="003A01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sz w:val="30"/>
          <w:szCs w:val="30"/>
        </w:rPr>
      </w:pPr>
      <w:r w:rsidRPr="00F51D89">
        <w:rPr>
          <w:rFonts w:ascii="Times New Roman" w:hAnsi="Times New Roman"/>
          <w:i/>
          <w:sz w:val="30"/>
          <w:szCs w:val="30"/>
        </w:rPr>
        <w:t>предоставление права местным Советам депутатов увеличивать (уменьшать) ставки единого налога с индивидуальных предпринимателей до 2 раз в зависимости от категории плательщиков;</w:t>
      </w:r>
    </w:p>
    <w:p w:rsidR="003A01B3" w:rsidRPr="00F51D89" w:rsidRDefault="003A01B3" w:rsidP="003A01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sz w:val="30"/>
          <w:szCs w:val="30"/>
        </w:rPr>
      </w:pPr>
      <w:r w:rsidRPr="00F51D89">
        <w:rPr>
          <w:rFonts w:ascii="Times New Roman" w:hAnsi="Times New Roman"/>
          <w:i/>
          <w:sz w:val="30"/>
          <w:szCs w:val="30"/>
        </w:rPr>
        <w:t xml:space="preserve">отмена единого налога на вмененный доход. </w:t>
      </w:r>
    </w:p>
    <w:p w:rsidR="003A01B3" w:rsidRPr="009B7FCE" w:rsidRDefault="003A01B3" w:rsidP="003A01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B7FCE">
        <w:rPr>
          <w:rFonts w:ascii="Times New Roman" w:hAnsi="Times New Roman"/>
          <w:sz w:val="30"/>
          <w:szCs w:val="30"/>
        </w:rPr>
        <w:t>Прогнозные показатели по доходам бюджета района на 2021 год учитывают потери по сравнению с 2020 годом поступлений подоходного налога с физических лиц, исчисленного с доходов в виде процентов, полученных по банковскому вкладу (депозиту) в связи с закрытием филиала № 113 ОАО «АСБ Беларусбанк» и созданием центра банковских услуг; снижения кадастровой стоимости земель, земельных участков по жилой многоквартирной зоне; государственной пошлины за рассмотрение общими судами исковых заявлений, жалоб, ходатайств в связи с изменением порядка зачисления.</w:t>
      </w:r>
    </w:p>
    <w:p w:rsidR="003A01B3" w:rsidRPr="006407D8" w:rsidRDefault="003A01B3" w:rsidP="003A01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highlight w:val="yellow"/>
        </w:rPr>
      </w:pPr>
    </w:p>
    <w:p w:rsidR="00E0189B" w:rsidRDefault="00E0189B" w:rsidP="00D067DB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color w:val="FF0000"/>
          <w:sz w:val="30"/>
          <w:szCs w:val="30"/>
          <w:highlight w:val="yellow"/>
          <w:lang w:eastAsia="ru-RU"/>
        </w:rPr>
      </w:pPr>
    </w:p>
    <w:p w:rsidR="00691D18" w:rsidRDefault="00691D18" w:rsidP="00D067DB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color w:val="FF0000"/>
          <w:sz w:val="30"/>
          <w:szCs w:val="30"/>
          <w:highlight w:val="yellow"/>
          <w:lang w:eastAsia="ru-RU"/>
        </w:rPr>
      </w:pPr>
    </w:p>
    <w:p w:rsidR="00691D18" w:rsidRDefault="00691D18" w:rsidP="00D067DB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color w:val="FF0000"/>
          <w:sz w:val="30"/>
          <w:szCs w:val="30"/>
          <w:highlight w:val="yellow"/>
          <w:lang w:eastAsia="ru-RU"/>
        </w:rPr>
      </w:pPr>
    </w:p>
    <w:p w:rsidR="00691D18" w:rsidRDefault="00691D18" w:rsidP="00D067DB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color w:val="FF0000"/>
          <w:sz w:val="30"/>
          <w:szCs w:val="30"/>
          <w:highlight w:val="yellow"/>
          <w:lang w:eastAsia="ru-RU"/>
        </w:rPr>
      </w:pPr>
    </w:p>
    <w:p w:rsidR="00F51D89" w:rsidRDefault="00F51D89" w:rsidP="00D067DB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color w:val="FF0000"/>
          <w:sz w:val="30"/>
          <w:szCs w:val="30"/>
          <w:highlight w:val="yellow"/>
          <w:lang w:eastAsia="ru-RU"/>
        </w:rPr>
      </w:pPr>
    </w:p>
    <w:p w:rsidR="00F51D89" w:rsidRDefault="00F51D89" w:rsidP="00D067DB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color w:val="FF0000"/>
          <w:sz w:val="30"/>
          <w:szCs w:val="30"/>
          <w:highlight w:val="yellow"/>
          <w:lang w:eastAsia="ru-RU"/>
        </w:rPr>
      </w:pPr>
    </w:p>
    <w:p w:rsidR="00F51D89" w:rsidRDefault="00F51D89" w:rsidP="00D067DB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color w:val="FF0000"/>
          <w:sz w:val="30"/>
          <w:szCs w:val="30"/>
          <w:highlight w:val="yellow"/>
          <w:lang w:eastAsia="ru-RU"/>
        </w:rPr>
      </w:pPr>
    </w:p>
    <w:p w:rsidR="00F51D89" w:rsidRDefault="00F51D89" w:rsidP="00D067DB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color w:val="FF0000"/>
          <w:sz w:val="30"/>
          <w:szCs w:val="30"/>
          <w:highlight w:val="yellow"/>
          <w:lang w:eastAsia="ru-RU"/>
        </w:rPr>
      </w:pPr>
    </w:p>
    <w:p w:rsidR="00691D18" w:rsidRPr="00F23415" w:rsidRDefault="00691D18" w:rsidP="00D067DB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color w:val="FF0000"/>
          <w:sz w:val="30"/>
          <w:szCs w:val="30"/>
          <w:highlight w:val="yellow"/>
          <w:lang w:eastAsia="ru-RU"/>
        </w:rPr>
      </w:pPr>
    </w:p>
    <w:p w:rsidR="007B24C0" w:rsidRPr="00F23415" w:rsidRDefault="007B24C0" w:rsidP="00D067DB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F23415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lastRenderedPageBreak/>
        <w:t xml:space="preserve">Структура доходов консолидированного бюджета </w:t>
      </w:r>
      <w:r w:rsidR="009C74BE" w:rsidRPr="00F23415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района</w:t>
      </w:r>
      <w:r w:rsidRPr="00F23415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 xml:space="preserve"> </w:t>
      </w:r>
      <w:r w:rsidR="00F2431B" w:rsidRPr="00F23415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br/>
      </w:r>
      <w:r w:rsidR="00123B99" w:rsidRPr="00F23415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на 20</w:t>
      </w:r>
      <w:r w:rsidR="003A01B3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21</w:t>
      </w:r>
      <w:r w:rsidRPr="00F23415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год (в процентах)</w:t>
      </w:r>
    </w:p>
    <w:p w:rsidR="007B24C0" w:rsidRPr="007D768F" w:rsidRDefault="007B24C0" w:rsidP="00D067D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30"/>
          <w:szCs w:val="30"/>
          <w:lang w:eastAsia="ru-RU"/>
        </w:rPr>
      </w:pPr>
    </w:p>
    <w:p w:rsidR="00924E93" w:rsidRDefault="00350486" w:rsidP="00350486">
      <w:pPr>
        <w:spacing w:after="0" w:line="240" w:lineRule="auto"/>
        <w:ind w:hanging="284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350486">
        <w:rPr>
          <w:rFonts w:ascii="Times New Roman" w:eastAsia="Times New Roman" w:hAnsi="Times New Roman"/>
          <w:noProof/>
          <w:sz w:val="30"/>
          <w:szCs w:val="30"/>
          <w:lang w:eastAsia="ru-RU"/>
        </w:rPr>
        <w:drawing>
          <wp:inline distT="0" distB="0" distL="0" distR="0" wp14:anchorId="0CC2BC7B" wp14:editId="5794EADB">
            <wp:extent cx="5940425" cy="4425950"/>
            <wp:effectExtent l="0" t="0" r="3175" b="1270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350486" w:rsidRDefault="00350486" w:rsidP="001322D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1322D4" w:rsidRPr="00350486" w:rsidRDefault="001322D4" w:rsidP="001322D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350486">
        <w:rPr>
          <w:rFonts w:ascii="Times New Roman" w:eastAsia="Times New Roman" w:hAnsi="Times New Roman"/>
          <w:sz w:val="30"/>
          <w:szCs w:val="30"/>
          <w:lang w:eastAsia="ru-RU"/>
        </w:rPr>
        <w:t xml:space="preserve">В структуре собственных доходов бюджета </w:t>
      </w:r>
      <w:r w:rsidR="005061AB" w:rsidRPr="00350486">
        <w:rPr>
          <w:rFonts w:ascii="Times New Roman" w:eastAsia="Times New Roman" w:hAnsi="Times New Roman"/>
          <w:sz w:val="30"/>
          <w:szCs w:val="30"/>
          <w:lang w:eastAsia="ru-RU"/>
        </w:rPr>
        <w:t>района</w:t>
      </w:r>
      <w:r w:rsidRPr="00350486">
        <w:rPr>
          <w:rFonts w:ascii="Times New Roman" w:eastAsia="Times New Roman" w:hAnsi="Times New Roman"/>
          <w:sz w:val="30"/>
          <w:szCs w:val="30"/>
          <w:lang w:eastAsia="ru-RU"/>
        </w:rPr>
        <w:t xml:space="preserve"> на 20</w:t>
      </w:r>
      <w:r w:rsidR="00EC7D34" w:rsidRPr="00350486">
        <w:rPr>
          <w:rFonts w:ascii="Times New Roman" w:eastAsia="Times New Roman" w:hAnsi="Times New Roman"/>
          <w:sz w:val="30"/>
          <w:szCs w:val="30"/>
          <w:lang w:eastAsia="ru-RU"/>
        </w:rPr>
        <w:t>2</w:t>
      </w:r>
      <w:r w:rsidR="00691D18">
        <w:rPr>
          <w:rFonts w:ascii="Times New Roman" w:eastAsia="Times New Roman" w:hAnsi="Times New Roman"/>
          <w:sz w:val="30"/>
          <w:szCs w:val="30"/>
          <w:lang w:eastAsia="ru-RU"/>
        </w:rPr>
        <w:t>1</w:t>
      </w:r>
      <w:r w:rsidRPr="00350486">
        <w:rPr>
          <w:rFonts w:ascii="Times New Roman" w:eastAsia="Times New Roman" w:hAnsi="Times New Roman"/>
          <w:sz w:val="30"/>
          <w:szCs w:val="30"/>
          <w:lang w:eastAsia="ru-RU"/>
        </w:rPr>
        <w:t xml:space="preserve"> год налоговые доходы составляют </w:t>
      </w:r>
      <w:r w:rsidR="00F51D89">
        <w:rPr>
          <w:rFonts w:ascii="Times New Roman" w:eastAsia="Times New Roman" w:hAnsi="Times New Roman"/>
          <w:sz w:val="30"/>
          <w:szCs w:val="30"/>
          <w:lang w:eastAsia="ru-RU"/>
        </w:rPr>
        <w:t>76 744,4</w:t>
      </w:r>
      <w:r w:rsidRPr="00350486">
        <w:rPr>
          <w:rFonts w:ascii="Times New Roman" w:eastAsia="Times New Roman" w:hAnsi="Times New Roman"/>
          <w:sz w:val="30"/>
          <w:szCs w:val="30"/>
          <w:lang w:eastAsia="ru-RU"/>
        </w:rPr>
        <w:t xml:space="preserve"> тыс. рублей (</w:t>
      </w:r>
      <w:r w:rsidR="00350486" w:rsidRPr="00350486">
        <w:rPr>
          <w:rFonts w:ascii="Times New Roman" w:eastAsia="Times New Roman" w:hAnsi="Times New Roman"/>
          <w:sz w:val="30"/>
          <w:szCs w:val="30"/>
          <w:lang w:eastAsia="ru-RU"/>
        </w:rPr>
        <w:t>9</w:t>
      </w:r>
      <w:r w:rsidR="00F51D89">
        <w:rPr>
          <w:rFonts w:ascii="Times New Roman" w:eastAsia="Times New Roman" w:hAnsi="Times New Roman"/>
          <w:sz w:val="30"/>
          <w:szCs w:val="30"/>
          <w:lang w:eastAsia="ru-RU"/>
        </w:rPr>
        <w:t>2,7</w:t>
      </w:r>
      <w:r w:rsidRPr="00350486">
        <w:rPr>
          <w:rFonts w:ascii="Times New Roman" w:eastAsia="Times New Roman" w:hAnsi="Times New Roman"/>
          <w:sz w:val="30"/>
          <w:szCs w:val="30"/>
          <w:lang w:eastAsia="ru-RU"/>
        </w:rPr>
        <w:t>%), неналоговые доходы –</w:t>
      </w:r>
      <w:r w:rsidR="00123B99" w:rsidRPr="00350486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F51D89">
        <w:rPr>
          <w:rFonts w:ascii="Times New Roman" w:eastAsia="Times New Roman" w:hAnsi="Times New Roman"/>
          <w:sz w:val="30"/>
          <w:szCs w:val="30"/>
          <w:lang w:eastAsia="ru-RU"/>
        </w:rPr>
        <w:t>6 006,1</w:t>
      </w:r>
      <w:r w:rsidRPr="00350486">
        <w:rPr>
          <w:rFonts w:ascii="Times New Roman" w:eastAsia="Times New Roman" w:hAnsi="Times New Roman"/>
          <w:sz w:val="30"/>
          <w:szCs w:val="30"/>
          <w:lang w:eastAsia="ru-RU"/>
        </w:rPr>
        <w:t xml:space="preserve"> тыс. рублей (</w:t>
      </w:r>
      <w:r w:rsidR="00F51D89">
        <w:rPr>
          <w:rFonts w:ascii="Times New Roman" w:eastAsia="Times New Roman" w:hAnsi="Times New Roman"/>
          <w:sz w:val="30"/>
          <w:szCs w:val="30"/>
          <w:lang w:eastAsia="ru-RU"/>
        </w:rPr>
        <w:t>7,3</w:t>
      </w:r>
      <w:r w:rsidRPr="00350486">
        <w:rPr>
          <w:rFonts w:ascii="Times New Roman" w:eastAsia="Times New Roman" w:hAnsi="Times New Roman"/>
          <w:sz w:val="30"/>
          <w:szCs w:val="30"/>
          <w:lang w:eastAsia="ru-RU"/>
        </w:rPr>
        <w:t>%).</w:t>
      </w:r>
    </w:p>
    <w:p w:rsidR="00350486" w:rsidRPr="00D37DAE" w:rsidRDefault="001322D4" w:rsidP="001322D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D37DAE">
        <w:rPr>
          <w:rFonts w:ascii="Times New Roman" w:eastAsia="Times New Roman" w:hAnsi="Times New Roman"/>
          <w:sz w:val="30"/>
          <w:szCs w:val="30"/>
          <w:lang w:eastAsia="ru-RU"/>
        </w:rPr>
        <w:t>Налоговые доходы формируются в основном за счет поступлений</w:t>
      </w:r>
      <w:r w:rsidR="00D60167" w:rsidRPr="00D37DAE">
        <w:rPr>
          <w:rFonts w:ascii="Times New Roman" w:eastAsia="Times New Roman" w:hAnsi="Times New Roman"/>
          <w:i/>
          <w:sz w:val="30"/>
          <w:szCs w:val="30"/>
          <w:lang w:eastAsia="ru-RU"/>
        </w:rPr>
        <w:t xml:space="preserve"> </w:t>
      </w:r>
      <w:r w:rsidRPr="00D37DAE">
        <w:rPr>
          <w:rFonts w:ascii="Times New Roman" w:eastAsia="Times New Roman" w:hAnsi="Times New Roman"/>
          <w:sz w:val="30"/>
          <w:szCs w:val="30"/>
          <w:lang w:eastAsia="ru-RU"/>
        </w:rPr>
        <w:t>подоходного налога</w:t>
      </w:r>
      <w:r w:rsidR="00EC7D34" w:rsidRPr="00D37DAE">
        <w:rPr>
          <w:rFonts w:ascii="Times New Roman" w:eastAsia="Times New Roman" w:hAnsi="Times New Roman"/>
          <w:sz w:val="30"/>
          <w:szCs w:val="30"/>
          <w:lang w:eastAsia="ru-RU"/>
        </w:rPr>
        <w:t xml:space="preserve"> с физических лиц</w:t>
      </w:r>
      <w:r w:rsidRPr="00D37DAE">
        <w:rPr>
          <w:rFonts w:ascii="Times New Roman" w:eastAsia="Times New Roman" w:hAnsi="Times New Roman"/>
          <w:sz w:val="30"/>
          <w:szCs w:val="30"/>
          <w:lang w:eastAsia="ru-RU"/>
        </w:rPr>
        <w:t xml:space="preserve"> – </w:t>
      </w:r>
      <w:r w:rsidR="009D0A57" w:rsidRPr="00D37DAE">
        <w:rPr>
          <w:rFonts w:ascii="Times New Roman" w:eastAsia="Times New Roman" w:hAnsi="Times New Roman"/>
          <w:sz w:val="30"/>
          <w:szCs w:val="30"/>
          <w:lang w:eastAsia="ru-RU"/>
        </w:rPr>
        <w:t>34 958,7</w:t>
      </w:r>
      <w:r w:rsidRPr="00D37DAE">
        <w:rPr>
          <w:rFonts w:ascii="Times New Roman" w:eastAsia="Times New Roman" w:hAnsi="Times New Roman"/>
          <w:sz w:val="30"/>
          <w:szCs w:val="30"/>
          <w:lang w:eastAsia="ru-RU"/>
        </w:rPr>
        <w:t xml:space="preserve"> тыс. рублей (</w:t>
      </w:r>
      <w:r w:rsidR="009D0A57" w:rsidRPr="00D37DAE">
        <w:rPr>
          <w:rFonts w:ascii="Times New Roman" w:eastAsia="Times New Roman" w:hAnsi="Times New Roman"/>
          <w:sz w:val="30"/>
          <w:szCs w:val="30"/>
          <w:lang w:eastAsia="ru-RU"/>
        </w:rPr>
        <w:t>42,2</w:t>
      </w:r>
      <w:r w:rsidRPr="00D37DAE">
        <w:rPr>
          <w:rFonts w:ascii="Times New Roman" w:eastAsia="Times New Roman" w:hAnsi="Times New Roman"/>
          <w:sz w:val="30"/>
          <w:szCs w:val="30"/>
          <w:lang w:eastAsia="ru-RU"/>
        </w:rPr>
        <w:t xml:space="preserve">%), налога на добавленную стоимость – </w:t>
      </w:r>
      <w:r w:rsidR="009D0A57" w:rsidRPr="00D37DAE">
        <w:rPr>
          <w:rFonts w:ascii="Times New Roman" w:eastAsia="Times New Roman" w:hAnsi="Times New Roman"/>
          <w:sz w:val="30"/>
          <w:szCs w:val="30"/>
          <w:lang w:eastAsia="ru-RU"/>
        </w:rPr>
        <w:t>18 319,3</w:t>
      </w:r>
      <w:r w:rsidRPr="00D37DAE">
        <w:rPr>
          <w:rFonts w:ascii="Times New Roman" w:eastAsia="Times New Roman" w:hAnsi="Times New Roman"/>
          <w:sz w:val="30"/>
          <w:szCs w:val="30"/>
          <w:lang w:eastAsia="ru-RU"/>
        </w:rPr>
        <w:t xml:space="preserve"> тыс. рублей (</w:t>
      </w:r>
      <w:r w:rsidR="009D0A57" w:rsidRPr="00D37DAE">
        <w:rPr>
          <w:rFonts w:ascii="Times New Roman" w:eastAsia="Times New Roman" w:hAnsi="Times New Roman"/>
          <w:sz w:val="30"/>
          <w:szCs w:val="30"/>
          <w:lang w:eastAsia="ru-RU"/>
        </w:rPr>
        <w:t>22,1</w:t>
      </w:r>
      <w:r w:rsidRPr="00D37DAE">
        <w:rPr>
          <w:rFonts w:ascii="Times New Roman" w:eastAsia="Times New Roman" w:hAnsi="Times New Roman"/>
          <w:sz w:val="30"/>
          <w:szCs w:val="30"/>
          <w:lang w:eastAsia="ru-RU"/>
        </w:rPr>
        <w:t>%), налогов на собственность –</w:t>
      </w:r>
      <w:r w:rsidR="00123B99" w:rsidRPr="00D37DAE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9D0A57" w:rsidRPr="00D37DAE">
        <w:rPr>
          <w:rFonts w:ascii="Times New Roman" w:eastAsia="Times New Roman" w:hAnsi="Times New Roman"/>
          <w:sz w:val="30"/>
          <w:szCs w:val="30"/>
          <w:lang w:eastAsia="ru-RU"/>
        </w:rPr>
        <w:t>8 962,9</w:t>
      </w:r>
      <w:r w:rsidR="00123B99" w:rsidRPr="00D37DAE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D37DAE">
        <w:rPr>
          <w:rFonts w:ascii="Times New Roman" w:eastAsia="Times New Roman" w:hAnsi="Times New Roman"/>
          <w:sz w:val="30"/>
          <w:szCs w:val="30"/>
          <w:lang w:eastAsia="ru-RU"/>
        </w:rPr>
        <w:t>тыс. рублей (</w:t>
      </w:r>
      <w:r w:rsidR="00350486" w:rsidRPr="00D37DAE">
        <w:rPr>
          <w:rFonts w:ascii="Times New Roman" w:eastAsia="Times New Roman" w:hAnsi="Times New Roman"/>
          <w:sz w:val="30"/>
          <w:szCs w:val="30"/>
          <w:lang w:eastAsia="ru-RU"/>
        </w:rPr>
        <w:t>1</w:t>
      </w:r>
      <w:r w:rsidR="009D0A57" w:rsidRPr="00D37DAE">
        <w:rPr>
          <w:rFonts w:ascii="Times New Roman" w:eastAsia="Times New Roman" w:hAnsi="Times New Roman"/>
          <w:sz w:val="30"/>
          <w:szCs w:val="30"/>
          <w:lang w:eastAsia="ru-RU"/>
        </w:rPr>
        <w:t>0,8</w:t>
      </w:r>
      <w:r w:rsidRPr="00D37DAE">
        <w:rPr>
          <w:rFonts w:ascii="Times New Roman" w:eastAsia="Times New Roman" w:hAnsi="Times New Roman"/>
          <w:sz w:val="30"/>
          <w:szCs w:val="30"/>
          <w:lang w:eastAsia="ru-RU"/>
        </w:rPr>
        <w:t xml:space="preserve">%), налога на прибыль – </w:t>
      </w:r>
      <w:r w:rsidR="009D0A57" w:rsidRPr="00D37DAE">
        <w:rPr>
          <w:rFonts w:ascii="Times New Roman" w:eastAsia="Times New Roman" w:hAnsi="Times New Roman"/>
          <w:sz w:val="30"/>
          <w:szCs w:val="30"/>
          <w:lang w:eastAsia="ru-RU"/>
        </w:rPr>
        <w:t>7 262,0</w:t>
      </w:r>
      <w:r w:rsidR="00123B99" w:rsidRPr="00D37DAE">
        <w:rPr>
          <w:rFonts w:ascii="Times New Roman" w:eastAsia="Times New Roman" w:hAnsi="Times New Roman"/>
          <w:sz w:val="30"/>
          <w:szCs w:val="30"/>
          <w:lang w:eastAsia="ru-RU"/>
        </w:rPr>
        <w:t xml:space="preserve"> тыс. рублей (</w:t>
      </w:r>
      <w:r w:rsidR="009D0A57" w:rsidRPr="00D37DAE">
        <w:rPr>
          <w:rFonts w:ascii="Times New Roman" w:eastAsia="Times New Roman" w:hAnsi="Times New Roman"/>
          <w:sz w:val="30"/>
          <w:szCs w:val="30"/>
          <w:lang w:eastAsia="ru-RU"/>
        </w:rPr>
        <w:t>8,8</w:t>
      </w:r>
      <w:r w:rsidRPr="00D37DAE">
        <w:rPr>
          <w:rFonts w:ascii="Times New Roman" w:eastAsia="Times New Roman" w:hAnsi="Times New Roman"/>
          <w:sz w:val="30"/>
          <w:szCs w:val="30"/>
          <w:lang w:eastAsia="ru-RU"/>
        </w:rPr>
        <w:t>%), других налогов от выручки от реализации товаров (работ, услуг)</w:t>
      </w:r>
      <w:r w:rsidR="009D0A57" w:rsidRPr="00D37DAE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D37DAE">
        <w:rPr>
          <w:rFonts w:ascii="Times New Roman" w:eastAsia="Times New Roman" w:hAnsi="Times New Roman"/>
          <w:sz w:val="30"/>
          <w:szCs w:val="30"/>
          <w:lang w:eastAsia="ru-RU"/>
        </w:rPr>
        <w:t xml:space="preserve">– </w:t>
      </w:r>
      <w:r w:rsidR="009D0A57" w:rsidRPr="00D37DAE">
        <w:rPr>
          <w:rFonts w:ascii="Times New Roman" w:eastAsia="Times New Roman" w:hAnsi="Times New Roman"/>
          <w:sz w:val="30"/>
          <w:szCs w:val="30"/>
          <w:lang w:eastAsia="ru-RU"/>
        </w:rPr>
        <w:t>7 241,5</w:t>
      </w:r>
      <w:r w:rsidRPr="00D37DAE">
        <w:rPr>
          <w:rFonts w:ascii="Times New Roman" w:eastAsia="Times New Roman" w:hAnsi="Times New Roman"/>
          <w:sz w:val="30"/>
          <w:szCs w:val="30"/>
          <w:lang w:eastAsia="ru-RU"/>
        </w:rPr>
        <w:t xml:space="preserve"> тыс. рублей </w:t>
      </w:r>
      <w:r w:rsidR="005061AB" w:rsidRPr="00D37DAE">
        <w:rPr>
          <w:rFonts w:ascii="Times New Roman" w:eastAsia="Times New Roman" w:hAnsi="Times New Roman"/>
          <w:sz w:val="30"/>
          <w:szCs w:val="30"/>
          <w:lang w:eastAsia="ru-RU"/>
        </w:rPr>
        <w:t>(</w:t>
      </w:r>
      <w:r w:rsidR="009D0A57" w:rsidRPr="00D37DAE">
        <w:rPr>
          <w:rFonts w:ascii="Times New Roman" w:eastAsia="Times New Roman" w:hAnsi="Times New Roman"/>
          <w:sz w:val="30"/>
          <w:szCs w:val="30"/>
          <w:lang w:eastAsia="ru-RU"/>
        </w:rPr>
        <w:t>8,8</w:t>
      </w:r>
      <w:r w:rsidR="00123B99" w:rsidRPr="00D37DAE">
        <w:rPr>
          <w:rFonts w:ascii="Times New Roman" w:eastAsia="Times New Roman" w:hAnsi="Times New Roman"/>
          <w:sz w:val="30"/>
          <w:szCs w:val="30"/>
          <w:lang w:eastAsia="ru-RU"/>
        </w:rPr>
        <w:t>%)</w:t>
      </w:r>
      <w:r w:rsidR="009D0A57" w:rsidRPr="00D37DAE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R="009D0A57" w:rsidRPr="00D37DAE" w:rsidRDefault="009D0A57" w:rsidP="001322D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9D0A57" w:rsidRDefault="009D0A57" w:rsidP="001322D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30"/>
          <w:szCs w:val="30"/>
          <w:lang w:eastAsia="ru-RU"/>
        </w:rPr>
      </w:pPr>
    </w:p>
    <w:p w:rsidR="009D0A57" w:rsidRDefault="009D0A57" w:rsidP="001322D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30"/>
          <w:szCs w:val="30"/>
          <w:lang w:eastAsia="ru-RU"/>
        </w:rPr>
      </w:pPr>
    </w:p>
    <w:p w:rsidR="009D0A57" w:rsidRDefault="009D0A57" w:rsidP="001322D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30"/>
          <w:szCs w:val="30"/>
          <w:lang w:eastAsia="ru-RU"/>
        </w:rPr>
      </w:pPr>
    </w:p>
    <w:p w:rsidR="009D0A57" w:rsidRDefault="009D0A57" w:rsidP="001322D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30"/>
          <w:szCs w:val="30"/>
          <w:lang w:eastAsia="ru-RU"/>
        </w:rPr>
      </w:pPr>
    </w:p>
    <w:p w:rsidR="009D0A57" w:rsidRDefault="009D0A57" w:rsidP="001322D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30"/>
          <w:szCs w:val="30"/>
          <w:lang w:eastAsia="ru-RU"/>
        </w:rPr>
      </w:pPr>
    </w:p>
    <w:p w:rsidR="009D0A57" w:rsidRDefault="009D0A57" w:rsidP="001322D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30"/>
          <w:szCs w:val="30"/>
          <w:lang w:eastAsia="ru-RU"/>
        </w:rPr>
      </w:pPr>
    </w:p>
    <w:p w:rsidR="009D0A57" w:rsidRPr="00F51D89" w:rsidRDefault="009D0A57" w:rsidP="001322D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30"/>
          <w:szCs w:val="30"/>
          <w:lang w:eastAsia="ru-RU"/>
        </w:rPr>
      </w:pPr>
    </w:p>
    <w:p w:rsidR="0087611B" w:rsidRPr="00195ED7" w:rsidRDefault="0087611B" w:rsidP="00D067DB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30"/>
          <w:szCs w:val="30"/>
          <w:lang w:eastAsia="ru-RU"/>
        </w:rPr>
      </w:pPr>
      <w:r w:rsidRPr="00195ED7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lastRenderedPageBreak/>
        <w:t xml:space="preserve">Структура доходов консолидированного бюджета </w:t>
      </w:r>
      <w:r w:rsidR="00195ED7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района</w:t>
      </w:r>
      <w:r w:rsidR="000D5F81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 xml:space="preserve"> в 20</w:t>
      </w:r>
      <w:r w:rsidR="00350486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2</w:t>
      </w:r>
      <w:r w:rsidR="00F51D89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1</w:t>
      </w:r>
      <w:r w:rsidRPr="00195ED7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 xml:space="preserve"> году</w:t>
      </w:r>
      <w:r w:rsidR="00631168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 xml:space="preserve"> (</w:t>
      </w:r>
      <w:r w:rsidR="00924E93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в процентах)</w:t>
      </w:r>
    </w:p>
    <w:p w:rsidR="00341521" w:rsidRDefault="00B967F4" w:rsidP="00B967F4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B967F4">
        <w:rPr>
          <w:rFonts w:ascii="Times New Roman" w:hAnsi="Times New Roman"/>
          <w:noProof/>
          <w:sz w:val="30"/>
          <w:szCs w:val="30"/>
          <w:lang w:eastAsia="ru-RU"/>
        </w:rPr>
        <w:drawing>
          <wp:inline distT="0" distB="0" distL="0" distR="0" wp14:anchorId="244381B6" wp14:editId="3E02139B">
            <wp:extent cx="6178550" cy="4890770"/>
            <wp:effectExtent l="0" t="0" r="12700" b="508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41521" w:rsidRDefault="00341521" w:rsidP="00D067D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915509" w:rsidRPr="00195ED7" w:rsidRDefault="000E23A0" w:rsidP="00D067D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95ED7">
        <w:rPr>
          <w:rFonts w:ascii="Times New Roman" w:hAnsi="Times New Roman"/>
          <w:sz w:val="30"/>
          <w:szCs w:val="30"/>
        </w:rPr>
        <w:t xml:space="preserve">В </w:t>
      </w:r>
      <w:r w:rsidR="00D24C53">
        <w:rPr>
          <w:rFonts w:ascii="Times New Roman" w:hAnsi="Times New Roman"/>
          <w:sz w:val="30"/>
          <w:szCs w:val="30"/>
        </w:rPr>
        <w:t>2021</w:t>
      </w:r>
      <w:r w:rsidRPr="00195ED7">
        <w:rPr>
          <w:rFonts w:ascii="Times New Roman" w:hAnsi="Times New Roman"/>
          <w:sz w:val="30"/>
          <w:szCs w:val="30"/>
        </w:rPr>
        <w:t xml:space="preserve"> году бюджету </w:t>
      </w:r>
      <w:r w:rsidR="00195ED7" w:rsidRPr="00195ED7">
        <w:rPr>
          <w:rFonts w:ascii="Times New Roman" w:hAnsi="Times New Roman"/>
          <w:sz w:val="30"/>
          <w:szCs w:val="30"/>
        </w:rPr>
        <w:t>района</w:t>
      </w:r>
      <w:r w:rsidRPr="00195ED7">
        <w:rPr>
          <w:rFonts w:ascii="Times New Roman" w:hAnsi="Times New Roman"/>
          <w:sz w:val="30"/>
          <w:szCs w:val="30"/>
        </w:rPr>
        <w:t xml:space="preserve"> из республиканского бюджета передаются безвозмездные поступления в общей сумме</w:t>
      </w:r>
      <w:r w:rsidR="005F7862" w:rsidRPr="00195ED7">
        <w:rPr>
          <w:rFonts w:ascii="Times New Roman" w:hAnsi="Times New Roman"/>
          <w:sz w:val="30"/>
          <w:szCs w:val="30"/>
        </w:rPr>
        <w:t xml:space="preserve"> </w:t>
      </w:r>
      <w:r w:rsidR="00195ED7" w:rsidRPr="00195ED7">
        <w:rPr>
          <w:rFonts w:ascii="Times New Roman" w:hAnsi="Times New Roman"/>
          <w:sz w:val="30"/>
          <w:szCs w:val="30"/>
        </w:rPr>
        <w:br/>
      </w:r>
      <w:r w:rsidR="00D24C53">
        <w:rPr>
          <w:rFonts w:ascii="Times New Roman" w:hAnsi="Times New Roman"/>
          <w:sz w:val="30"/>
          <w:szCs w:val="30"/>
        </w:rPr>
        <w:t>42 067,8</w:t>
      </w:r>
      <w:r w:rsidR="005F7862" w:rsidRPr="00195ED7">
        <w:rPr>
          <w:rFonts w:ascii="Times New Roman" w:hAnsi="Times New Roman"/>
          <w:sz w:val="30"/>
          <w:szCs w:val="30"/>
        </w:rPr>
        <w:t xml:space="preserve"> </w:t>
      </w:r>
      <w:r w:rsidRPr="00195ED7">
        <w:rPr>
          <w:rFonts w:ascii="Times New Roman" w:hAnsi="Times New Roman"/>
          <w:sz w:val="30"/>
          <w:szCs w:val="30"/>
        </w:rPr>
        <w:t>тыс. рублей, в том числе</w:t>
      </w:r>
      <w:r w:rsidR="00915509" w:rsidRPr="00195ED7">
        <w:rPr>
          <w:rFonts w:ascii="Times New Roman" w:hAnsi="Times New Roman"/>
          <w:sz w:val="30"/>
          <w:szCs w:val="30"/>
        </w:rPr>
        <w:t>:</w:t>
      </w:r>
    </w:p>
    <w:p w:rsidR="005C7E3A" w:rsidRPr="00195ED7" w:rsidRDefault="000E23A0" w:rsidP="00F23415">
      <w:pPr>
        <w:spacing w:after="0" w:line="240" w:lineRule="auto"/>
        <w:ind w:firstLineChars="283" w:firstLine="84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95ED7">
        <w:rPr>
          <w:rFonts w:ascii="Times New Roman" w:hAnsi="Times New Roman"/>
          <w:b/>
          <w:i/>
          <w:sz w:val="30"/>
          <w:szCs w:val="30"/>
        </w:rPr>
        <w:t xml:space="preserve"> </w:t>
      </w:r>
      <w:r w:rsidR="00916A61" w:rsidRPr="00195ED7">
        <w:rPr>
          <w:rFonts w:ascii="Times New Roman" w:hAnsi="Times New Roman"/>
          <w:b/>
          <w:i/>
          <w:sz w:val="30"/>
          <w:szCs w:val="30"/>
        </w:rPr>
        <w:t>д</w:t>
      </w:r>
      <w:r w:rsidRPr="00195ED7">
        <w:rPr>
          <w:rFonts w:ascii="Times New Roman" w:hAnsi="Times New Roman"/>
          <w:b/>
          <w:i/>
          <w:sz w:val="30"/>
          <w:szCs w:val="30"/>
        </w:rPr>
        <w:t>отации</w:t>
      </w:r>
      <w:r w:rsidR="00916A61" w:rsidRPr="00195ED7">
        <w:rPr>
          <w:rFonts w:ascii="Times New Roman" w:hAnsi="Times New Roman"/>
          <w:sz w:val="30"/>
          <w:szCs w:val="30"/>
        </w:rPr>
        <w:t xml:space="preserve"> </w:t>
      </w:r>
      <w:r w:rsidR="00195ED7" w:rsidRPr="00195ED7">
        <w:rPr>
          <w:rFonts w:ascii="Times New Roman" w:hAnsi="Times New Roman"/>
          <w:sz w:val="30"/>
          <w:szCs w:val="30"/>
        </w:rPr>
        <w:t>–</w:t>
      </w:r>
      <w:r w:rsidRPr="00195ED7">
        <w:rPr>
          <w:rFonts w:ascii="Times New Roman" w:hAnsi="Times New Roman"/>
          <w:sz w:val="30"/>
          <w:szCs w:val="30"/>
        </w:rPr>
        <w:t xml:space="preserve"> </w:t>
      </w:r>
      <w:r w:rsidR="00D24C53">
        <w:rPr>
          <w:rFonts w:ascii="Times New Roman" w:hAnsi="Times New Roman"/>
          <w:sz w:val="30"/>
          <w:szCs w:val="30"/>
        </w:rPr>
        <w:t>41 345,0</w:t>
      </w:r>
      <w:r w:rsidR="00172E74" w:rsidRPr="00195ED7">
        <w:rPr>
          <w:rFonts w:ascii="Times New Roman" w:hAnsi="Times New Roman"/>
          <w:sz w:val="30"/>
          <w:szCs w:val="30"/>
        </w:rPr>
        <w:t xml:space="preserve"> </w:t>
      </w:r>
      <w:r w:rsidRPr="00195ED7">
        <w:rPr>
          <w:rFonts w:ascii="Times New Roman" w:hAnsi="Times New Roman"/>
          <w:sz w:val="30"/>
          <w:szCs w:val="30"/>
        </w:rPr>
        <w:t>тыс. ру</w:t>
      </w:r>
      <w:r w:rsidR="00915509" w:rsidRPr="00195ED7">
        <w:rPr>
          <w:rFonts w:ascii="Times New Roman" w:hAnsi="Times New Roman"/>
          <w:sz w:val="30"/>
          <w:szCs w:val="30"/>
        </w:rPr>
        <w:t>блей;</w:t>
      </w:r>
      <w:r w:rsidR="005C7E3A" w:rsidRPr="00195ED7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</w:p>
    <w:p w:rsidR="005C7E3A" w:rsidRPr="00195ED7" w:rsidRDefault="00042431" w:rsidP="00F23415">
      <w:pPr>
        <w:spacing w:after="0" w:line="240" w:lineRule="auto"/>
        <w:ind w:firstLineChars="283" w:firstLine="84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95ED7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</w:t>
      </w:r>
      <w:r w:rsidR="005C7E3A" w:rsidRPr="00195ED7">
        <w:rPr>
          <w:rFonts w:ascii="Times New Roman" w:eastAsia="Times New Roman" w:hAnsi="Times New Roman"/>
          <w:b/>
          <w:i/>
          <w:sz w:val="30"/>
          <w:szCs w:val="30"/>
          <w:lang w:eastAsia="ru-RU"/>
        </w:rPr>
        <w:t>субвенции</w:t>
      </w:r>
      <w:r w:rsidR="005C7E3A" w:rsidRPr="00195ED7">
        <w:rPr>
          <w:rFonts w:ascii="Times New Roman" w:eastAsia="Times New Roman" w:hAnsi="Times New Roman"/>
          <w:sz w:val="30"/>
          <w:szCs w:val="30"/>
          <w:lang w:eastAsia="ru-RU"/>
        </w:rPr>
        <w:t xml:space="preserve"> – </w:t>
      </w:r>
      <w:r w:rsidR="00D24C53">
        <w:rPr>
          <w:rFonts w:ascii="Times New Roman" w:eastAsia="Times New Roman" w:hAnsi="Times New Roman"/>
          <w:sz w:val="30"/>
          <w:szCs w:val="30"/>
          <w:lang w:eastAsia="ru-RU"/>
        </w:rPr>
        <w:t>722,8</w:t>
      </w:r>
      <w:r w:rsidR="005C7E3A" w:rsidRPr="00195ED7">
        <w:rPr>
          <w:rFonts w:ascii="Times New Roman" w:eastAsia="Times New Roman" w:hAnsi="Times New Roman"/>
          <w:sz w:val="30"/>
          <w:szCs w:val="30"/>
          <w:lang w:eastAsia="ru-RU"/>
        </w:rPr>
        <w:t xml:space="preserve"> тыс. рублей на финансирование расходов по развитию сельского хозяйства и рыбохозяйственной деятельности</w:t>
      </w:r>
      <w:r w:rsidR="00195ED7" w:rsidRPr="00195ED7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R="00B967F4" w:rsidRPr="00195ED7" w:rsidRDefault="00B967F4" w:rsidP="00691D18">
      <w:pPr>
        <w:spacing w:after="0" w:line="240" w:lineRule="auto"/>
        <w:rPr>
          <w:rFonts w:ascii="Times New Roman" w:hAnsi="Times New Roman"/>
          <w:b/>
          <w:sz w:val="30"/>
          <w:szCs w:val="30"/>
        </w:rPr>
      </w:pPr>
    </w:p>
    <w:p w:rsidR="00CD325B" w:rsidRDefault="005F7862" w:rsidP="00631168">
      <w:pPr>
        <w:spacing w:after="0" w:line="240" w:lineRule="auto"/>
        <w:ind w:firstLine="709"/>
        <w:jc w:val="center"/>
        <w:rPr>
          <w:rFonts w:ascii="Times New Roman" w:hAnsi="Times New Roman"/>
          <w:b/>
          <w:sz w:val="30"/>
          <w:szCs w:val="30"/>
        </w:rPr>
      </w:pPr>
      <w:r w:rsidRPr="00195ED7">
        <w:rPr>
          <w:rFonts w:ascii="Times New Roman" w:hAnsi="Times New Roman"/>
          <w:b/>
          <w:sz w:val="30"/>
          <w:szCs w:val="30"/>
        </w:rPr>
        <w:t>Расходы</w:t>
      </w:r>
    </w:p>
    <w:p w:rsidR="00D60167" w:rsidRPr="00195ED7" w:rsidRDefault="00D60167" w:rsidP="00D067DB">
      <w:pPr>
        <w:spacing w:after="0" w:line="240" w:lineRule="auto"/>
        <w:ind w:firstLine="709"/>
        <w:jc w:val="center"/>
        <w:rPr>
          <w:rFonts w:ascii="Times New Roman" w:hAnsi="Times New Roman"/>
          <w:b/>
          <w:sz w:val="30"/>
          <w:szCs w:val="30"/>
        </w:rPr>
      </w:pPr>
    </w:p>
    <w:p w:rsidR="00691D18" w:rsidRPr="003C6326" w:rsidRDefault="00691D18" w:rsidP="00691D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C6326">
        <w:rPr>
          <w:rFonts w:ascii="Times New Roman" w:hAnsi="Times New Roman"/>
          <w:sz w:val="30"/>
          <w:szCs w:val="30"/>
        </w:rPr>
        <w:t xml:space="preserve">Расходы консолидированного бюджета района определены в сумме 124 818,3 тыс. рублей. </w:t>
      </w:r>
    </w:p>
    <w:p w:rsidR="00691D18" w:rsidRPr="003C6326" w:rsidRDefault="00691D18" w:rsidP="00691D18">
      <w:pPr>
        <w:spacing w:after="0" w:line="240" w:lineRule="auto"/>
        <w:ind w:firstLine="709"/>
        <w:jc w:val="both"/>
        <w:rPr>
          <w:rFonts w:ascii="Times New Roman" w:hAnsi="Times New Roman"/>
          <w:spacing w:val="-8"/>
          <w:sz w:val="30"/>
          <w:szCs w:val="30"/>
        </w:rPr>
      </w:pPr>
      <w:r w:rsidRPr="003C6326">
        <w:rPr>
          <w:rFonts w:ascii="Times New Roman" w:hAnsi="Times New Roman"/>
          <w:sz w:val="30"/>
          <w:szCs w:val="30"/>
        </w:rPr>
        <w:t>При планировании расходов бюджета на 2021 год распределение расходов осуществлено по направлениям в соответствии со статьей</w:t>
      </w:r>
      <w:r w:rsidRPr="003C6326">
        <w:rPr>
          <w:rFonts w:ascii="Times New Roman" w:hAnsi="Times New Roman"/>
          <w:sz w:val="30"/>
          <w:szCs w:val="30"/>
        </w:rPr>
        <w:br/>
        <w:t>46 Бюджетного кодекса Республики Беларусь. Сохраняется социальная направленность расходов бюджета.</w:t>
      </w:r>
    </w:p>
    <w:p w:rsidR="00691D18" w:rsidRPr="003C6326" w:rsidRDefault="00691D18" w:rsidP="00691D18">
      <w:pPr>
        <w:spacing w:after="0" w:line="240" w:lineRule="auto"/>
        <w:ind w:firstLine="709"/>
        <w:jc w:val="both"/>
        <w:rPr>
          <w:rFonts w:ascii="Times New Roman" w:hAnsi="Times New Roman"/>
          <w:spacing w:val="-8"/>
          <w:sz w:val="30"/>
          <w:szCs w:val="30"/>
        </w:rPr>
      </w:pPr>
      <w:r w:rsidRPr="003C6326">
        <w:rPr>
          <w:rFonts w:ascii="Times New Roman" w:hAnsi="Times New Roman"/>
          <w:sz w:val="30"/>
          <w:szCs w:val="30"/>
        </w:rPr>
        <w:t xml:space="preserve">При формировании расходной части бюджета района учтена необходимость обеспечения ассигнованиями первоочередных </w:t>
      </w:r>
      <w:r w:rsidRPr="003C6326">
        <w:rPr>
          <w:rFonts w:ascii="Times New Roman" w:hAnsi="Times New Roman"/>
          <w:sz w:val="30"/>
          <w:szCs w:val="30"/>
        </w:rPr>
        <w:lastRenderedPageBreak/>
        <w:t xml:space="preserve">бюджетных обязательств (заработная плата и взносы (отчисления) на социальное страхование работникам бюджетной сферы, </w:t>
      </w:r>
      <w:r w:rsidRPr="003C6326">
        <w:rPr>
          <w:rFonts w:ascii="Times New Roman" w:hAnsi="Times New Roman"/>
          <w:spacing w:val="-4"/>
          <w:sz w:val="30"/>
          <w:szCs w:val="30"/>
        </w:rPr>
        <w:t>трансферты населению, оплата коммунальных</w:t>
      </w:r>
      <w:r w:rsidRPr="003C6326">
        <w:rPr>
          <w:rFonts w:ascii="Times New Roman" w:hAnsi="Times New Roman"/>
          <w:sz w:val="30"/>
          <w:szCs w:val="30"/>
        </w:rPr>
        <w:t xml:space="preserve"> услуг</w:t>
      </w:r>
      <w:r w:rsidRPr="003C6326">
        <w:rPr>
          <w:rFonts w:ascii="Times New Roman" w:hAnsi="Times New Roman"/>
          <w:spacing w:val="-4"/>
          <w:sz w:val="30"/>
          <w:szCs w:val="30"/>
        </w:rPr>
        <w:t>, продуктов питания, лекарственных средств и изделий медицинского</w:t>
      </w:r>
      <w:r w:rsidRPr="003C6326">
        <w:rPr>
          <w:rFonts w:ascii="Times New Roman" w:hAnsi="Times New Roman"/>
          <w:sz w:val="30"/>
          <w:szCs w:val="30"/>
        </w:rPr>
        <w:t xml:space="preserve"> </w:t>
      </w:r>
      <w:r w:rsidRPr="003C6326">
        <w:rPr>
          <w:rFonts w:ascii="Times New Roman" w:hAnsi="Times New Roman"/>
          <w:spacing w:val="-8"/>
          <w:sz w:val="30"/>
          <w:szCs w:val="30"/>
        </w:rPr>
        <w:t xml:space="preserve">назначения). Расходы на оплату труда в бюджетной сфере запланированы с учетом подходов, определенных Указом Президента Республики Беларусь от 18 января 2019 г. № 27 «Об оплате труда работников бюджетных организаций», исходя из применения среднегодовой базовой ставки в размере 195 рублей (105,4 процента </w:t>
      </w:r>
      <w:r w:rsidRPr="00F7085C">
        <w:rPr>
          <w:rFonts w:ascii="Times New Roman" w:hAnsi="Times New Roman"/>
          <w:spacing w:val="-8"/>
          <w:sz w:val="30"/>
          <w:szCs w:val="30"/>
        </w:rPr>
        <w:t>к величине, применяемой в 2020 году). Дополнительно в бюджете района предусмотрены</w:t>
      </w:r>
      <w:r w:rsidRPr="003C6326">
        <w:rPr>
          <w:rFonts w:ascii="Times New Roman" w:hAnsi="Times New Roman"/>
          <w:spacing w:val="-8"/>
          <w:sz w:val="30"/>
          <w:szCs w:val="30"/>
        </w:rPr>
        <w:t xml:space="preserve"> средства (около 401,8 тыс. рублей) на повышение заработной платы низкооплачиваемым категориям работников: в сфере образования - воспитателям дошкольного образования и помощникам воспитателей; в сфере культуры - работникам культурно-просветительных организаций; в сфере оказания социальных услуг - работникам, оказывающим социальные услуги.</w:t>
      </w:r>
    </w:p>
    <w:p w:rsidR="00691D18" w:rsidRPr="000854CB" w:rsidRDefault="00691D18" w:rsidP="00691D18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B32AD">
        <w:rPr>
          <w:rFonts w:ascii="Times New Roman" w:hAnsi="Times New Roman"/>
          <w:sz w:val="30"/>
          <w:szCs w:val="30"/>
        </w:rPr>
        <w:t xml:space="preserve">На заработную плату с начислениями планируется направить </w:t>
      </w:r>
      <w:r w:rsidRPr="007B32AD">
        <w:rPr>
          <w:rFonts w:ascii="Times New Roman" w:hAnsi="Times New Roman"/>
          <w:sz w:val="30"/>
          <w:szCs w:val="30"/>
        </w:rPr>
        <w:br/>
        <w:t>77 762,3 тыс. рублей или 62,3% всех расходов, на приобретение медикаментов – 3 858,5 тыс. рублей или 3,1%, на продукты питания – 4 203,5 тыс. рублей или 3,4%, на</w:t>
      </w:r>
      <w:r w:rsidRPr="004C6C9B">
        <w:rPr>
          <w:rFonts w:ascii="Times New Roman" w:hAnsi="Times New Roman"/>
          <w:sz w:val="30"/>
          <w:szCs w:val="30"/>
        </w:rPr>
        <w:t xml:space="preserve"> субсид</w:t>
      </w:r>
      <w:r>
        <w:rPr>
          <w:rFonts w:ascii="Times New Roman" w:hAnsi="Times New Roman"/>
          <w:sz w:val="30"/>
          <w:szCs w:val="30"/>
        </w:rPr>
        <w:t xml:space="preserve">ирование </w:t>
      </w:r>
      <w:r w:rsidRPr="004C6C9B">
        <w:rPr>
          <w:rFonts w:ascii="Times New Roman" w:hAnsi="Times New Roman"/>
          <w:sz w:val="30"/>
          <w:szCs w:val="30"/>
        </w:rPr>
        <w:t>жилищно-коммунальны</w:t>
      </w:r>
      <w:r>
        <w:rPr>
          <w:rFonts w:ascii="Times New Roman" w:hAnsi="Times New Roman"/>
          <w:sz w:val="30"/>
          <w:szCs w:val="30"/>
        </w:rPr>
        <w:t xml:space="preserve">х </w:t>
      </w:r>
      <w:r w:rsidRPr="004C6C9B">
        <w:rPr>
          <w:rFonts w:ascii="Times New Roman" w:hAnsi="Times New Roman"/>
          <w:sz w:val="30"/>
          <w:szCs w:val="30"/>
        </w:rPr>
        <w:t>услуг</w:t>
      </w:r>
      <w:r>
        <w:rPr>
          <w:rFonts w:ascii="Times New Roman" w:hAnsi="Times New Roman"/>
          <w:sz w:val="30"/>
          <w:szCs w:val="30"/>
        </w:rPr>
        <w:t>, предоставляемых</w:t>
      </w:r>
      <w:r w:rsidRPr="004C6C9B">
        <w:rPr>
          <w:rFonts w:ascii="Times New Roman" w:hAnsi="Times New Roman"/>
          <w:sz w:val="30"/>
          <w:szCs w:val="30"/>
        </w:rPr>
        <w:t xml:space="preserve"> населению</w:t>
      </w:r>
      <w:r>
        <w:rPr>
          <w:rFonts w:ascii="Times New Roman" w:hAnsi="Times New Roman"/>
          <w:sz w:val="30"/>
          <w:szCs w:val="30"/>
        </w:rPr>
        <w:t>,</w:t>
      </w:r>
      <w:r w:rsidRPr="004C6C9B">
        <w:rPr>
          <w:rFonts w:ascii="Times New Roman" w:hAnsi="Times New Roman"/>
          <w:sz w:val="30"/>
          <w:szCs w:val="30"/>
        </w:rPr>
        <w:t xml:space="preserve"> планируется направить 9 215,3 тыс. рублей или 7,4%, на возмещение разницы в ценах на</w:t>
      </w:r>
      <w:r w:rsidRPr="009E643A">
        <w:rPr>
          <w:rFonts w:ascii="Times New Roman" w:hAnsi="Times New Roman"/>
          <w:sz w:val="30"/>
          <w:szCs w:val="30"/>
        </w:rPr>
        <w:t xml:space="preserve"> твердое топливо, реализуемое населению, – 455,6 тыс. рублей</w:t>
      </w:r>
      <w:r w:rsidRPr="000854CB">
        <w:rPr>
          <w:rFonts w:ascii="Times New Roman" w:hAnsi="Times New Roman"/>
          <w:sz w:val="30"/>
          <w:szCs w:val="30"/>
        </w:rPr>
        <w:t>, по пассажирским перевозкам – 2 656,0 тыс. рублей или 2,1%.</w:t>
      </w:r>
    </w:p>
    <w:p w:rsidR="00691D18" w:rsidRPr="003C6326" w:rsidRDefault="00691D18" w:rsidP="00691D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C6326">
        <w:rPr>
          <w:rFonts w:ascii="Times New Roman" w:hAnsi="Times New Roman"/>
          <w:sz w:val="30"/>
          <w:szCs w:val="30"/>
        </w:rPr>
        <w:t xml:space="preserve">Другие текущие расходы в бюджетном секторе предусматриваются на основе их оценки в </w:t>
      </w:r>
      <w:r>
        <w:rPr>
          <w:rFonts w:ascii="Times New Roman" w:hAnsi="Times New Roman"/>
          <w:sz w:val="30"/>
          <w:szCs w:val="30"/>
        </w:rPr>
        <w:t>2020</w:t>
      </w:r>
      <w:r w:rsidRPr="003C6326">
        <w:rPr>
          <w:rFonts w:ascii="Times New Roman" w:hAnsi="Times New Roman"/>
          <w:sz w:val="30"/>
          <w:szCs w:val="30"/>
        </w:rPr>
        <w:t xml:space="preserve"> году в объемах, обеспечивающих функционирование бюджетных организаций с учетом принимаемых мер по экономии бюджетных ресурсов.</w:t>
      </w:r>
    </w:p>
    <w:p w:rsidR="00691D18" w:rsidRPr="003C6326" w:rsidRDefault="00691D18" w:rsidP="00691D18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C6326">
        <w:rPr>
          <w:rFonts w:ascii="Times New Roman" w:hAnsi="Times New Roman"/>
          <w:sz w:val="30"/>
          <w:szCs w:val="30"/>
        </w:rPr>
        <w:t>Расходы бюджета района на 2021 год предусмотрены по следующим направлениям.</w:t>
      </w:r>
    </w:p>
    <w:p w:rsidR="00341521" w:rsidRDefault="00341521" w:rsidP="00D067D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386915" w:rsidRPr="00C9264C" w:rsidRDefault="00386915" w:rsidP="0038691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0"/>
          <w:szCs w:val="30"/>
          <w:lang w:eastAsia="ru-RU"/>
        </w:rPr>
      </w:pPr>
      <w:r w:rsidRPr="00C9264C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 xml:space="preserve">Структура расходов консолидированного бюджета </w:t>
      </w:r>
    </w:p>
    <w:p w:rsidR="00386915" w:rsidRPr="00C9264C" w:rsidRDefault="000D5F81" w:rsidP="0038691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0"/>
          <w:szCs w:val="30"/>
          <w:lang w:eastAsia="ru-RU"/>
        </w:rPr>
      </w:pPr>
      <w:r w:rsidRPr="00C9264C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 xml:space="preserve">на </w:t>
      </w:r>
      <w:r w:rsidR="00C9264C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202</w:t>
      </w:r>
      <w:r w:rsidR="00F51D89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1</w:t>
      </w:r>
      <w:r w:rsidR="00386915" w:rsidRPr="00C9264C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 xml:space="preserve"> год (в процентах)</w:t>
      </w:r>
    </w:p>
    <w:p w:rsidR="00386915" w:rsidRPr="007835AF" w:rsidRDefault="00C9264C" w:rsidP="007835A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0"/>
          <w:szCs w:val="30"/>
          <w:lang w:eastAsia="ru-RU"/>
        </w:rPr>
      </w:pPr>
      <w:r w:rsidRPr="00C9264C">
        <w:rPr>
          <w:noProof/>
          <w:lang w:eastAsia="ru-RU"/>
        </w:rPr>
        <w:lastRenderedPageBreak/>
        <w:drawing>
          <wp:inline distT="0" distB="0" distL="0" distR="0" wp14:anchorId="1D2AF8E8" wp14:editId="0A079708">
            <wp:extent cx="6045281" cy="3848804"/>
            <wp:effectExtent l="0" t="0" r="12700" b="1841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835AF" w:rsidRDefault="007835AF" w:rsidP="00B4052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19292A" w:rsidRPr="00631168" w:rsidRDefault="0019292A" w:rsidP="0019292A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На </w:t>
      </w:r>
      <w:r w:rsidRPr="00631168">
        <w:rPr>
          <w:rFonts w:ascii="Times New Roman" w:hAnsi="Times New Roman"/>
          <w:sz w:val="30"/>
          <w:szCs w:val="30"/>
        </w:rPr>
        <w:t xml:space="preserve">финансирование </w:t>
      </w:r>
      <w:r w:rsidRPr="00631168">
        <w:rPr>
          <w:rFonts w:ascii="Times New Roman" w:hAnsi="Times New Roman"/>
          <w:b/>
          <w:sz w:val="30"/>
          <w:szCs w:val="30"/>
        </w:rPr>
        <w:t>общегосударственной деятельности</w:t>
      </w:r>
      <w:r w:rsidRPr="00631168">
        <w:rPr>
          <w:rFonts w:ascii="Times New Roman" w:hAnsi="Times New Roman"/>
          <w:sz w:val="30"/>
          <w:szCs w:val="30"/>
        </w:rPr>
        <w:t xml:space="preserve"> предусмотрено </w:t>
      </w:r>
      <w:r w:rsidR="00AC4703" w:rsidRPr="000D1933">
        <w:rPr>
          <w:rFonts w:ascii="Times New Roman" w:hAnsi="Times New Roman"/>
          <w:sz w:val="30"/>
          <w:szCs w:val="30"/>
        </w:rPr>
        <w:t>9 250,5</w:t>
      </w:r>
      <w:r w:rsidRPr="000D1933">
        <w:rPr>
          <w:rFonts w:ascii="Times New Roman" w:hAnsi="Times New Roman"/>
          <w:sz w:val="30"/>
          <w:szCs w:val="30"/>
        </w:rPr>
        <w:t xml:space="preserve"> тыс. рублей (</w:t>
      </w:r>
      <w:r w:rsidR="00AC4703" w:rsidRPr="000D1933">
        <w:rPr>
          <w:rFonts w:ascii="Times New Roman" w:hAnsi="Times New Roman"/>
          <w:sz w:val="30"/>
          <w:szCs w:val="30"/>
        </w:rPr>
        <w:t>7,4</w:t>
      </w:r>
      <w:r w:rsidRPr="000D1933">
        <w:rPr>
          <w:rFonts w:ascii="Times New Roman" w:hAnsi="Times New Roman"/>
          <w:sz w:val="30"/>
          <w:szCs w:val="30"/>
        </w:rPr>
        <w:t xml:space="preserve">%) </w:t>
      </w:r>
      <w:r w:rsidRPr="00631168">
        <w:rPr>
          <w:rFonts w:ascii="Times New Roman" w:hAnsi="Times New Roman"/>
          <w:sz w:val="30"/>
          <w:szCs w:val="30"/>
        </w:rPr>
        <w:t xml:space="preserve">в общей сумме расходов – это расходы на обеспечение функционирования органов местного управления и самоуправления, государственных архивов, на обслуживание долга органов местного управления и самоуправления, резервные фонды, включая фонд финансирования расходов, связанных со стихийными бедствиями, авариями и катастрофами, иные общегосударственные вопросы. </w:t>
      </w:r>
    </w:p>
    <w:p w:rsidR="0019292A" w:rsidRPr="00D64F16" w:rsidRDefault="0019292A" w:rsidP="0019292A">
      <w:pPr>
        <w:spacing w:after="0" w:line="240" w:lineRule="auto"/>
        <w:ind w:firstLine="709"/>
        <w:jc w:val="both"/>
        <w:rPr>
          <w:rFonts w:ascii="Times New Roman" w:hAnsi="Times New Roman"/>
          <w:iCs/>
          <w:sz w:val="30"/>
          <w:szCs w:val="30"/>
        </w:rPr>
      </w:pPr>
      <w:r w:rsidRPr="00D64F16">
        <w:rPr>
          <w:rFonts w:ascii="Times New Roman" w:hAnsi="Times New Roman"/>
          <w:iCs/>
          <w:sz w:val="30"/>
          <w:szCs w:val="30"/>
        </w:rPr>
        <w:t xml:space="preserve">На финансирование </w:t>
      </w:r>
      <w:r w:rsidRPr="00D64F16">
        <w:rPr>
          <w:rFonts w:ascii="Times New Roman" w:hAnsi="Times New Roman"/>
          <w:sz w:val="30"/>
          <w:szCs w:val="30"/>
        </w:rPr>
        <w:t xml:space="preserve">созданного в 2020 году в соответствии с Указом Президента Республики Беларусь от 23 декабря 2019 г. № 475 </w:t>
      </w:r>
      <w:r w:rsidRPr="00D64F16">
        <w:rPr>
          <w:rFonts w:ascii="Times New Roman" w:hAnsi="Times New Roman"/>
          <w:sz w:val="30"/>
          <w:szCs w:val="30"/>
        </w:rPr>
        <w:br/>
      </w:r>
      <w:r w:rsidRPr="00D64F16">
        <w:rPr>
          <w:rFonts w:ascii="Times New Roman" w:hAnsi="Times New Roman"/>
          <w:iCs/>
          <w:sz w:val="30"/>
          <w:szCs w:val="30"/>
        </w:rPr>
        <w:t xml:space="preserve">ГУ «Кобринский районный центр по обеспечению деятельности бюджетных организаций» предусмотрены средства в сумме 2 143,7 тыс. рублей, в т.ч. на первоочередные расходы – 1 889,9 тыс. рублей, или 88,2%. </w:t>
      </w:r>
      <w:r w:rsidRPr="00D64F16">
        <w:rPr>
          <w:rFonts w:ascii="Times New Roman" w:hAnsi="Times New Roman"/>
          <w:sz w:val="30"/>
          <w:szCs w:val="30"/>
        </w:rPr>
        <w:t>В пределах указанных средств будет осуществляться реализация мероприятий подпрограммы «Обеспечение устойчивости бюджетной системы и повышение эффективности управления государственными финансами» Государственной программы «Управление государственными финансами и регулирование финансового рынка на 2020 год и на период до 2025 года».</w:t>
      </w:r>
    </w:p>
    <w:p w:rsidR="0019292A" w:rsidRDefault="0019292A" w:rsidP="001929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64F16">
        <w:rPr>
          <w:rFonts w:ascii="Times New Roman" w:hAnsi="Times New Roman"/>
          <w:sz w:val="30"/>
          <w:szCs w:val="30"/>
        </w:rPr>
        <w:t xml:space="preserve">Также по виду </w:t>
      </w:r>
      <w:r w:rsidRPr="000D1933">
        <w:rPr>
          <w:rFonts w:ascii="Times New Roman" w:hAnsi="Times New Roman"/>
          <w:i/>
          <w:sz w:val="30"/>
          <w:szCs w:val="30"/>
        </w:rPr>
        <w:t>«Иные общегосударственные вопросы</w:t>
      </w:r>
      <w:r w:rsidRPr="00D64F16">
        <w:rPr>
          <w:rFonts w:ascii="Times New Roman" w:hAnsi="Times New Roman"/>
          <w:sz w:val="30"/>
          <w:szCs w:val="30"/>
        </w:rPr>
        <w:t xml:space="preserve">» предусмотрены другие расходы местных исполнительных и распорядительных органов в сумме </w:t>
      </w:r>
      <w:r w:rsidR="000D1933">
        <w:rPr>
          <w:rFonts w:ascii="Times New Roman" w:hAnsi="Times New Roman"/>
          <w:sz w:val="30"/>
          <w:szCs w:val="30"/>
        </w:rPr>
        <w:t xml:space="preserve">142,4 </w:t>
      </w:r>
      <w:r w:rsidRPr="00D64F16">
        <w:rPr>
          <w:rFonts w:ascii="Times New Roman" w:hAnsi="Times New Roman"/>
          <w:sz w:val="30"/>
          <w:szCs w:val="30"/>
        </w:rPr>
        <w:t>тыс. рублей, включая:</w:t>
      </w:r>
    </w:p>
    <w:p w:rsidR="000D1933" w:rsidRPr="000D1933" w:rsidRDefault="000D1933" w:rsidP="001929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30"/>
          <w:szCs w:val="30"/>
        </w:rPr>
      </w:pPr>
      <w:r w:rsidRPr="000D1933">
        <w:rPr>
          <w:rFonts w:ascii="Times New Roman" w:hAnsi="Times New Roman"/>
          <w:i/>
          <w:sz w:val="30"/>
          <w:szCs w:val="30"/>
        </w:rPr>
        <w:t xml:space="preserve">расходы </w:t>
      </w:r>
      <w:r w:rsidRPr="000D1933">
        <w:rPr>
          <w:rFonts w:ascii="Times New Roman" w:hAnsi="Times New Roman"/>
          <w:i/>
          <w:sz w:val="30"/>
          <w:szCs w:val="30"/>
        </w:rPr>
        <w:t xml:space="preserve">на мероприятия местных исполнительных и распорядительных органов, включая поощрительные выплаты </w:t>
      </w:r>
      <w:r w:rsidRPr="000D1933">
        <w:rPr>
          <w:rFonts w:ascii="Times New Roman" w:hAnsi="Times New Roman"/>
          <w:i/>
          <w:sz w:val="30"/>
          <w:szCs w:val="30"/>
        </w:rPr>
        <w:lastRenderedPageBreak/>
        <w:t>старостам, определены в объеме 83,4 тыс. рублей</w:t>
      </w:r>
    </w:p>
    <w:p w:rsidR="0019292A" w:rsidRPr="000D1933" w:rsidRDefault="0019292A" w:rsidP="0019292A">
      <w:pPr>
        <w:spacing w:after="0" w:line="240" w:lineRule="auto"/>
        <w:ind w:firstLine="709"/>
        <w:jc w:val="both"/>
        <w:rPr>
          <w:rFonts w:ascii="Times New Roman" w:hAnsi="Times New Roman"/>
          <w:i/>
          <w:sz w:val="30"/>
          <w:szCs w:val="30"/>
        </w:rPr>
      </w:pPr>
      <w:r w:rsidRPr="000D1933">
        <w:rPr>
          <w:rFonts w:ascii="Times New Roman" w:hAnsi="Times New Roman"/>
          <w:i/>
          <w:sz w:val="30"/>
          <w:szCs w:val="30"/>
        </w:rPr>
        <w:t>расходы на оплату труда адвокатов – 18,6 тыс. рублей;</w:t>
      </w:r>
    </w:p>
    <w:p w:rsidR="0019292A" w:rsidRPr="000D1933" w:rsidRDefault="0019292A" w:rsidP="0019292A">
      <w:pPr>
        <w:spacing w:after="0" w:line="240" w:lineRule="auto"/>
        <w:ind w:firstLine="709"/>
        <w:jc w:val="both"/>
        <w:rPr>
          <w:rFonts w:ascii="Times New Roman" w:hAnsi="Times New Roman"/>
          <w:i/>
          <w:sz w:val="30"/>
          <w:szCs w:val="30"/>
        </w:rPr>
      </w:pPr>
      <w:r w:rsidRPr="000D1933">
        <w:rPr>
          <w:rFonts w:ascii="Times New Roman" w:hAnsi="Times New Roman"/>
          <w:i/>
          <w:sz w:val="30"/>
          <w:szCs w:val="30"/>
        </w:rPr>
        <w:t>расходы на материально–техническое обеспечение общественных пунктов правопорядка – 6,3 тыс. рублей;</w:t>
      </w:r>
    </w:p>
    <w:p w:rsidR="0019292A" w:rsidRPr="000D1933" w:rsidRDefault="0019292A" w:rsidP="0019292A">
      <w:pPr>
        <w:spacing w:after="0" w:line="240" w:lineRule="auto"/>
        <w:ind w:firstLine="709"/>
        <w:jc w:val="both"/>
        <w:rPr>
          <w:rFonts w:ascii="Times New Roman" w:hAnsi="Times New Roman"/>
          <w:i/>
          <w:sz w:val="30"/>
          <w:szCs w:val="30"/>
        </w:rPr>
      </w:pPr>
      <w:r w:rsidRPr="000D1933">
        <w:rPr>
          <w:rFonts w:ascii="Times New Roman" w:hAnsi="Times New Roman"/>
          <w:i/>
          <w:sz w:val="30"/>
          <w:szCs w:val="30"/>
        </w:rPr>
        <w:t>мероприятия местных исполнительных и распорядительных органов, направленные на поддержание и дальнейшее развитие инфраструктуры Государственной границы Республики Беларусь и приграничной территории – 2,0 тыс. рублей;</w:t>
      </w:r>
    </w:p>
    <w:p w:rsidR="0019292A" w:rsidRPr="000D1933" w:rsidRDefault="0019292A" w:rsidP="0019292A">
      <w:pPr>
        <w:spacing w:after="0" w:line="240" w:lineRule="auto"/>
        <w:ind w:firstLine="709"/>
        <w:jc w:val="both"/>
        <w:rPr>
          <w:rFonts w:ascii="Times New Roman" w:hAnsi="Times New Roman"/>
          <w:i/>
          <w:sz w:val="30"/>
          <w:szCs w:val="30"/>
        </w:rPr>
      </w:pPr>
      <w:r w:rsidRPr="000D1933">
        <w:rPr>
          <w:rFonts w:ascii="Times New Roman" w:hAnsi="Times New Roman"/>
          <w:i/>
          <w:sz w:val="30"/>
          <w:szCs w:val="30"/>
        </w:rPr>
        <w:t xml:space="preserve">снос ветхих и пустующих домов в соответствии с Указом Президента РБ от 04 сентября 2018 г. № 357 «О пустующих и ветхих домах» – 7,3 тыс. рублей; </w:t>
      </w:r>
    </w:p>
    <w:p w:rsidR="0019292A" w:rsidRPr="000D1933" w:rsidRDefault="0019292A" w:rsidP="0019292A">
      <w:pPr>
        <w:spacing w:after="0" w:line="240" w:lineRule="auto"/>
        <w:ind w:firstLine="709"/>
        <w:jc w:val="both"/>
        <w:rPr>
          <w:rFonts w:ascii="Times New Roman" w:hAnsi="Times New Roman"/>
          <w:i/>
          <w:sz w:val="30"/>
          <w:szCs w:val="30"/>
        </w:rPr>
      </w:pPr>
      <w:r w:rsidRPr="000D1933">
        <w:rPr>
          <w:rFonts w:ascii="Times New Roman" w:hAnsi="Times New Roman"/>
          <w:i/>
          <w:sz w:val="30"/>
          <w:szCs w:val="30"/>
        </w:rPr>
        <w:t xml:space="preserve">расходы, связанные с хранением, оценкой, экспертизой и реализацией арестованного, бесхозного и конфискованного имущества – 0,5 тыс. рублей; </w:t>
      </w:r>
    </w:p>
    <w:p w:rsidR="0019292A" w:rsidRPr="000D1933" w:rsidRDefault="00D24C53" w:rsidP="0019292A">
      <w:pPr>
        <w:spacing w:after="0" w:line="240" w:lineRule="auto"/>
        <w:ind w:firstLine="709"/>
        <w:jc w:val="both"/>
        <w:rPr>
          <w:rFonts w:ascii="Times New Roman" w:hAnsi="Times New Roman"/>
          <w:i/>
          <w:sz w:val="30"/>
          <w:szCs w:val="30"/>
        </w:rPr>
      </w:pPr>
      <w:r w:rsidRPr="000D1933">
        <w:rPr>
          <w:rFonts w:ascii="Times New Roman" w:hAnsi="Times New Roman"/>
          <w:i/>
          <w:sz w:val="30"/>
          <w:szCs w:val="30"/>
        </w:rPr>
        <w:t>оплату</w:t>
      </w:r>
      <w:r w:rsidR="0019292A" w:rsidRPr="000D1933">
        <w:rPr>
          <w:rFonts w:ascii="Times New Roman" w:hAnsi="Times New Roman"/>
          <w:i/>
          <w:sz w:val="30"/>
          <w:szCs w:val="30"/>
        </w:rPr>
        <w:t xml:space="preserve"> представителям государства в акционерных обществах – </w:t>
      </w:r>
      <w:r w:rsidR="0019292A" w:rsidRPr="000D1933">
        <w:rPr>
          <w:rFonts w:ascii="Times New Roman" w:hAnsi="Times New Roman"/>
          <w:i/>
          <w:sz w:val="30"/>
          <w:szCs w:val="30"/>
        </w:rPr>
        <w:br/>
        <w:t>21,8 тыс. рублей;</w:t>
      </w:r>
    </w:p>
    <w:p w:rsidR="0019292A" w:rsidRPr="000D1933" w:rsidRDefault="0019292A" w:rsidP="0019292A">
      <w:pPr>
        <w:spacing w:after="0" w:line="240" w:lineRule="auto"/>
        <w:ind w:firstLine="709"/>
        <w:jc w:val="both"/>
        <w:rPr>
          <w:rFonts w:ascii="Times New Roman" w:hAnsi="Times New Roman"/>
          <w:i/>
          <w:sz w:val="30"/>
          <w:szCs w:val="30"/>
        </w:rPr>
      </w:pPr>
      <w:r w:rsidRPr="000D1933">
        <w:rPr>
          <w:rFonts w:ascii="Times New Roman" w:hAnsi="Times New Roman"/>
          <w:i/>
          <w:sz w:val="30"/>
          <w:szCs w:val="30"/>
        </w:rPr>
        <w:t xml:space="preserve">расходы, связанные с оценкой зданий, сооружений, принадлежащих физлицам для исчисления налога на недвижимость – </w:t>
      </w:r>
      <w:r w:rsidRPr="000D1933">
        <w:rPr>
          <w:rFonts w:ascii="Times New Roman" w:hAnsi="Times New Roman"/>
          <w:i/>
          <w:sz w:val="30"/>
          <w:szCs w:val="30"/>
        </w:rPr>
        <w:br/>
        <w:t>2,5 тыс. рублей;</w:t>
      </w:r>
    </w:p>
    <w:p w:rsidR="006477ED" w:rsidRDefault="006477ED" w:rsidP="006477E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631168">
        <w:rPr>
          <w:rFonts w:ascii="Times New Roman" w:eastAsia="Times New Roman" w:hAnsi="Times New Roman"/>
          <w:sz w:val="30"/>
          <w:szCs w:val="30"/>
          <w:lang w:eastAsia="ru-RU"/>
        </w:rPr>
        <w:t xml:space="preserve">Расходы на </w:t>
      </w:r>
      <w:r w:rsidRPr="0019292A">
        <w:rPr>
          <w:rFonts w:ascii="Times New Roman" w:eastAsia="Times New Roman" w:hAnsi="Times New Roman"/>
          <w:b/>
          <w:sz w:val="30"/>
          <w:szCs w:val="30"/>
          <w:lang w:eastAsia="ru-RU"/>
        </w:rPr>
        <w:t>национальную</w:t>
      </w:r>
      <w:r w:rsidRPr="00631168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B7100B" w:rsidRPr="0019292A">
        <w:rPr>
          <w:rFonts w:ascii="Times New Roman" w:eastAsia="Times New Roman" w:hAnsi="Times New Roman"/>
          <w:b/>
          <w:sz w:val="30"/>
          <w:szCs w:val="30"/>
          <w:lang w:eastAsia="ru-RU"/>
        </w:rPr>
        <w:t>оборону</w:t>
      </w:r>
      <w:r w:rsidR="00B7100B" w:rsidRPr="00631168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19292A">
        <w:rPr>
          <w:rFonts w:ascii="Times New Roman" w:eastAsia="Times New Roman" w:hAnsi="Times New Roman"/>
          <w:sz w:val="30"/>
          <w:szCs w:val="30"/>
          <w:lang w:eastAsia="ru-RU"/>
        </w:rPr>
        <w:t xml:space="preserve">запланированы </w:t>
      </w:r>
      <w:r w:rsidR="00B7100B" w:rsidRPr="00631168">
        <w:rPr>
          <w:rFonts w:ascii="Times New Roman" w:eastAsia="Times New Roman" w:hAnsi="Times New Roman"/>
          <w:sz w:val="30"/>
          <w:szCs w:val="30"/>
          <w:lang w:eastAsia="ru-RU"/>
        </w:rPr>
        <w:t xml:space="preserve">в сумме </w:t>
      </w:r>
      <w:r w:rsidR="00B7100B" w:rsidRPr="00631168">
        <w:rPr>
          <w:rFonts w:ascii="Times New Roman" w:eastAsia="Times New Roman" w:hAnsi="Times New Roman"/>
          <w:sz w:val="30"/>
          <w:szCs w:val="30"/>
          <w:lang w:eastAsia="ru-RU"/>
        </w:rPr>
        <w:br/>
      </w:r>
      <w:r w:rsidR="0019292A">
        <w:rPr>
          <w:rFonts w:ascii="Times New Roman" w:eastAsia="Times New Roman" w:hAnsi="Times New Roman"/>
          <w:sz w:val="30"/>
          <w:szCs w:val="30"/>
          <w:lang w:eastAsia="ru-RU"/>
        </w:rPr>
        <w:t>2</w:t>
      </w:r>
      <w:r w:rsidR="00831D16">
        <w:rPr>
          <w:rFonts w:ascii="Times New Roman" w:eastAsia="Times New Roman" w:hAnsi="Times New Roman"/>
          <w:sz w:val="30"/>
          <w:szCs w:val="30"/>
          <w:lang w:eastAsia="ru-RU"/>
        </w:rPr>
        <w:t>0,0</w:t>
      </w:r>
      <w:r w:rsidR="00C87433">
        <w:rPr>
          <w:rFonts w:ascii="Times New Roman" w:eastAsia="Times New Roman" w:hAnsi="Times New Roman"/>
          <w:sz w:val="30"/>
          <w:szCs w:val="30"/>
          <w:lang w:eastAsia="ru-RU"/>
        </w:rPr>
        <w:t xml:space="preserve"> тыс. рублей и </w:t>
      </w:r>
      <w:r w:rsidR="00831D16">
        <w:rPr>
          <w:rFonts w:ascii="Times New Roman" w:eastAsia="Times New Roman" w:hAnsi="Times New Roman"/>
          <w:sz w:val="30"/>
          <w:szCs w:val="30"/>
          <w:lang w:eastAsia="ru-RU"/>
        </w:rPr>
        <w:t xml:space="preserve">будут направлены </w:t>
      </w:r>
      <w:r w:rsidRPr="00631168">
        <w:rPr>
          <w:rFonts w:ascii="Times New Roman" w:eastAsia="Times New Roman" w:hAnsi="Times New Roman"/>
          <w:sz w:val="30"/>
          <w:szCs w:val="30"/>
          <w:lang w:eastAsia="ru-RU"/>
        </w:rPr>
        <w:t>на содержание запасов материальных средств и пунктов управления.</w:t>
      </w:r>
    </w:p>
    <w:p w:rsidR="0019292A" w:rsidRPr="00D64F16" w:rsidRDefault="0019292A" w:rsidP="0019292A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64F16">
        <w:rPr>
          <w:rFonts w:ascii="Times New Roman" w:hAnsi="Times New Roman"/>
          <w:sz w:val="30"/>
          <w:szCs w:val="30"/>
        </w:rPr>
        <w:t xml:space="preserve">На финансирование расходов по отрасли </w:t>
      </w:r>
      <w:r w:rsidRPr="00AC4703">
        <w:rPr>
          <w:rFonts w:ascii="Times New Roman" w:hAnsi="Times New Roman"/>
          <w:b/>
          <w:sz w:val="30"/>
          <w:szCs w:val="30"/>
        </w:rPr>
        <w:t xml:space="preserve">«Охрана окружающей среды» </w:t>
      </w:r>
      <w:r w:rsidRPr="00D64F16">
        <w:rPr>
          <w:rFonts w:ascii="Times New Roman" w:hAnsi="Times New Roman"/>
          <w:sz w:val="30"/>
          <w:szCs w:val="30"/>
        </w:rPr>
        <w:t xml:space="preserve">в 2021 году предусмотрено 7,3 тыс. рублей. </w:t>
      </w:r>
    </w:p>
    <w:p w:rsidR="0019292A" w:rsidRDefault="0019292A" w:rsidP="0019292A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64F16">
        <w:rPr>
          <w:rFonts w:ascii="Times New Roman" w:hAnsi="Times New Roman"/>
          <w:sz w:val="30"/>
          <w:szCs w:val="30"/>
        </w:rPr>
        <w:t>Бюджетные назначения планируется направить на финансирование расходов ведения охотничьего хозяйства, в частности на увеличение и поддержание численности основных видов охотничьих животных</w:t>
      </w:r>
      <w:r>
        <w:rPr>
          <w:rFonts w:ascii="Times New Roman" w:hAnsi="Times New Roman"/>
          <w:sz w:val="30"/>
          <w:szCs w:val="30"/>
        </w:rPr>
        <w:t>.</w:t>
      </w:r>
    </w:p>
    <w:p w:rsidR="000D1933" w:rsidRDefault="000D1933" w:rsidP="0019292A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8C0B96" w:rsidRDefault="008C0B96" w:rsidP="008C0B96">
      <w:pPr>
        <w:spacing w:after="0" w:line="240" w:lineRule="auto"/>
        <w:ind w:firstLine="709"/>
        <w:jc w:val="center"/>
        <w:rPr>
          <w:rFonts w:ascii="Times New Roman" w:hAnsi="Times New Roman"/>
          <w:b/>
          <w:sz w:val="30"/>
          <w:szCs w:val="30"/>
          <w:u w:val="single"/>
        </w:rPr>
      </w:pPr>
      <w:r w:rsidRPr="008C0B96">
        <w:rPr>
          <w:rFonts w:ascii="Times New Roman" w:hAnsi="Times New Roman"/>
          <w:b/>
          <w:sz w:val="30"/>
          <w:szCs w:val="30"/>
          <w:u w:val="single"/>
        </w:rPr>
        <w:t>Сельское хозяйство</w:t>
      </w:r>
    </w:p>
    <w:p w:rsidR="008C0B96" w:rsidRPr="008C0B96" w:rsidRDefault="008C0B96" w:rsidP="008C0B96">
      <w:pPr>
        <w:spacing w:after="0" w:line="240" w:lineRule="auto"/>
        <w:ind w:firstLine="709"/>
        <w:jc w:val="center"/>
        <w:rPr>
          <w:rFonts w:ascii="Times New Roman" w:hAnsi="Times New Roman"/>
          <w:b/>
          <w:sz w:val="30"/>
          <w:szCs w:val="30"/>
          <w:u w:val="single"/>
        </w:rPr>
      </w:pPr>
    </w:p>
    <w:p w:rsidR="0019292A" w:rsidRPr="00D64F16" w:rsidRDefault="0019292A" w:rsidP="0019292A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64F16">
        <w:rPr>
          <w:rFonts w:ascii="Times New Roman" w:hAnsi="Times New Roman"/>
          <w:sz w:val="30"/>
          <w:szCs w:val="30"/>
        </w:rPr>
        <w:t xml:space="preserve">На реализацию мероприятий по развитию </w:t>
      </w:r>
      <w:r w:rsidRPr="00AC4703">
        <w:rPr>
          <w:rFonts w:ascii="Times New Roman" w:hAnsi="Times New Roman"/>
          <w:b/>
          <w:sz w:val="30"/>
          <w:szCs w:val="30"/>
        </w:rPr>
        <w:t>сельскохозяйственного производства</w:t>
      </w:r>
      <w:r w:rsidRPr="00D64F16">
        <w:rPr>
          <w:rFonts w:ascii="Times New Roman" w:hAnsi="Times New Roman"/>
          <w:sz w:val="30"/>
          <w:szCs w:val="30"/>
        </w:rPr>
        <w:t xml:space="preserve"> в 2021 году из бюджета района планируется направить 2 041,3 тыс. рублей. </w:t>
      </w:r>
    </w:p>
    <w:p w:rsidR="0019292A" w:rsidRPr="00D64F16" w:rsidRDefault="0019292A" w:rsidP="0019292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D64F16">
        <w:rPr>
          <w:rFonts w:ascii="Times New Roman" w:hAnsi="Times New Roman"/>
          <w:color w:val="000000"/>
          <w:sz w:val="30"/>
          <w:szCs w:val="30"/>
        </w:rPr>
        <w:t xml:space="preserve">На реализацию мероприятий по развитию сельскохозяйственного производства из средств бюджета района планируется направить </w:t>
      </w:r>
      <w:r w:rsidRPr="00D64F16">
        <w:rPr>
          <w:rFonts w:ascii="Times New Roman" w:hAnsi="Times New Roman"/>
          <w:color w:val="000000"/>
          <w:sz w:val="30"/>
          <w:szCs w:val="30"/>
        </w:rPr>
        <w:br/>
        <w:t>1007,7 тыс. рублей, в том числе за счет субвенций, передаваемых из республиканского бюджета 722,8 тыс. рублей.</w:t>
      </w:r>
    </w:p>
    <w:p w:rsidR="0019292A" w:rsidRPr="00D64F16" w:rsidRDefault="0019292A" w:rsidP="0019292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D64F16">
        <w:rPr>
          <w:rFonts w:ascii="Times New Roman" w:hAnsi="Times New Roman"/>
          <w:color w:val="000000"/>
          <w:sz w:val="30"/>
          <w:szCs w:val="30"/>
        </w:rPr>
        <w:t xml:space="preserve">На содержание районных (городских) ветеринарных станций и финансирование расходов государственной инспекции по надзору за техническим состоянием тракторов, машин и оборудования колхозов и других кооперативов, совхозов, предприятий, организаций, крестьянских (фермерских) хозяйств и граждан в районе планируется направить </w:t>
      </w:r>
      <w:r w:rsidRPr="00D64F16">
        <w:rPr>
          <w:rFonts w:ascii="Times New Roman" w:hAnsi="Times New Roman"/>
          <w:color w:val="000000"/>
          <w:sz w:val="30"/>
          <w:szCs w:val="30"/>
        </w:rPr>
        <w:br/>
      </w:r>
      <w:r w:rsidRPr="00D64F16">
        <w:rPr>
          <w:rFonts w:ascii="Times New Roman" w:hAnsi="Times New Roman"/>
          <w:color w:val="000000"/>
          <w:sz w:val="30"/>
          <w:szCs w:val="30"/>
        </w:rPr>
        <w:lastRenderedPageBreak/>
        <w:t>1 033,1 тыс. рублей, что составляет 50,6 % к общей сумме расходов на сельское хозяйство.</w:t>
      </w:r>
    </w:p>
    <w:p w:rsidR="0019292A" w:rsidRPr="00B10C25" w:rsidRDefault="0019292A" w:rsidP="001929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10C25">
        <w:rPr>
          <w:rFonts w:ascii="Times New Roman" w:hAnsi="Times New Roman"/>
          <w:sz w:val="30"/>
          <w:szCs w:val="30"/>
        </w:rPr>
        <w:t xml:space="preserve">На </w:t>
      </w:r>
      <w:r w:rsidR="00AC4703">
        <w:rPr>
          <w:rFonts w:ascii="Times New Roman" w:hAnsi="Times New Roman"/>
          <w:sz w:val="30"/>
          <w:szCs w:val="30"/>
        </w:rPr>
        <w:t xml:space="preserve">субсидирование транспортных расходов </w:t>
      </w:r>
      <w:proofErr w:type="gramStart"/>
      <w:r w:rsidR="00AC4703">
        <w:rPr>
          <w:rFonts w:ascii="Times New Roman" w:hAnsi="Times New Roman"/>
          <w:sz w:val="30"/>
          <w:szCs w:val="30"/>
        </w:rPr>
        <w:t xml:space="preserve">в  </w:t>
      </w:r>
      <w:r w:rsidRPr="00B10C25">
        <w:rPr>
          <w:rFonts w:ascii="Times New Roman" w:hAnsi="Times New Roman"/>
          <w:sz w:val="30"/>
          <w:szCs w:val="30"/>
        </w:rPr>
        <w:t>2021</w:t>
      </w:r>
      <w:proofErr w:type="gramEnd"/>
      <w:r w:rsidRPr="00B10C25">
        <w:rPr>
          <w:rFonts w:ascii="Times New Roman" w:hAnsi="Times New Roman"/>
          <w:sz w:val="30"/>
          <w:szCs w:val="30"/>
        </w:rPr>
        <w:t> год</w:t>
      </w:r>
      <w:r w:rsidR="00AC4703">
        <w:rPr>
          <w:rFonts w:ascii="Times New Roman" w:hAnsi="Times New Roman"/>
          <w:sz w:val="30"/>
          <w:szCs w:val="30"/>
        </w:rPr>
        <w:t>у</w:t>
      </w:r>
      <w:r w:rsidRPr="00B10C25">
        <w:rPr>
          <w:rFonts w:ascii="Times New Roman" w:hAnsi="Times New Roman"/>
          <w:sz w:val="30"/>
          <w:szCs w:val="30"/>
        </w:rPr>
        <w:t xml:space="preserve"> в бюджете района запланировано 2 656,0 тыс. рублей, в том числе:</w:t>
      </w:r>
    </w:p>
    <w:p w:rsidR="0019292A" w:rsidRPr="00B10C25" w:rsidRDefault="0019292A" w:rsidP="0019292A">
      <w:pPr>
        <w:spacing w:after="0" w:line="240" w:lineRule="auto"/>
        <w:ind w:firstLine="709"/>
        <w:jc w:val="both"/>
        <w:rPr>
          <w:rFonts w:ascii="Times New Roman" w:hAnsi="Times New Roman"/>
          <w:iCs/>
          <w:sz w:val="30"/>
          <w:szCs w:val="30"/>
        </w:rPr>
      </w:pPr>
      <w:r w:rsidRPr="00B10C25">
        <w:rPr>
          <w:rFonts w:ascii="Times New Roman" w:hAnsi="Times New Roman"/>
          <w:iCs/>
          <w:sz w:val="30"/>
          <w:szCs w:val="30"/>
        </w:rPr>
        <w:t xml:space="preserve">на возмещение части затрат по социально значимым перевозкам пассажиров по городским перевозкам 1 476,1 тыс. рублей; </w:t>
      </w:r>
    </w:p>
    <w:p w:rsidR="0019292A" w:rsidRPr="00B10C25" w:rsidRDefault="0019292A" w:rsidP="0019292A">
      <w:pPr>
        <w:spacing w:after="0" w:line="240" w:lineRule="auto"/>
        <w:ind w:firstLine="709"/>
        <w:jc w:val="both"/>
        <w:rPr>
          <w:rFonts w:ascii="Times New Roman" w:hAnsi="Times New Roman"/>
          <w:iCs/>
          <w:sz w:val="30"/>
          <w:szCs w:val="30"/>
        </w:rPr>
      </w:pPr>
      <w:r w:rsidRPr="00B10C25">
        <w:rPr>
          <w:rFonts w:ascii="Times New Roman" w:hAnsi="Times New Roman"/>
          <w:iCs/>
          <w:sz w:val="30"/>
          <w:szCs w:val="30"/>
        </w:rPr>
        <w:t>на возмещение части затрат по социально значимым перевозкам пассажиров по пригородным перевозкам – 1 179,9 тыс. рублей.</w:t>
      </w:r>
    </w:p>
    <w:p w:rsidR="0019292A" w:rsidRPr="00B10C25" w:rsidRDefault="0019292A" w:rsidP="0019292A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10C25">
        <w:rPr>
          <w:rFonts w:ascii="Times New Roman" w:hAnsi="Times New Roman"/>
          <w:iCs/>
          <w:sz w:val="30"/>
          <w:szCs w:val="30"/>
        </w:rPr>
        <w:t>Ассигнования запланированы с учетом прогнозного роста затрат и планируемого роста выручки от повышения тарифов на 10 копеек на одну поездку в городском транспорте и на 1 копейку за 1 км по пригородным перевозкам в 4 квартале 2021 года.</w:t>
      </w:r>
    </w:p>
    <w:p w:rsidR="008C0B96" w:rsidRDefault="0019292A" w:rsidP="001929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E643A">
        <w:rPr>
          <w:rFonts w:ascii="Times New Roman" w:hAnsi="Times New Roman"/>
          <w:sz w:val="30"/>
          <w:szCs w:val="30"/>
        </w:rPr>
        <w:t>С целью социальной поддержки граждан, проживающих в жилых помещениях, не подключенных к системе централизованного теплоснабжения и отапливаемых твердыми видами топлива (дрова, уголь, торф), реализация топлива последним производится по льготным фиксируемым ценам в пределах установленных норм.</w:t>
      </w:r>
    </w:p>
    <w:p w:rsidR="0019292A" w:rsidRPr="008C0B96" w:rsidRDefault="008C0B96" w:rsidP="008C0B9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30"/>
          <w:szCs w:val="30"/>
          <w:u w:val="single"/>
        </w:rPr>
      </w:pPr>
      <w:r w:rsidRPr="008C0B96">
        <w:rPr>
          <w:rFonts w:ascii="Times New Roman" w:hAnsi="Times New Roman"/>
          <w:b/>
          <w:sz w:val="30"/>
          <w:szCs w:val="30"/>
          <w:u w:val="single"/>
        </w:rPr>
        <w:t>Топливо и энергетика</w:t>
      </w:r>
    </w:p>
    <w:p w:rsidR="0019292A" w:rsidRPr="006407D8" w:rsidRDefault="0019292A" w:rsidP="0019292A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highlight w:val="yellow"/>
        </w:rPr>
      </w:pPr>
      <w:r w:rsidRPr="005F3CD9">
        <w:rPr>
          <w:rFonts w:ascii="Times New Roman" w:hAnsi="Times New Roman"/>
          <w:sz w:val="30"/>
          <w:szCs w:val="30"/>
        </w:rPr>
        <w:t xml:space="preserve">На удешевление стоимости </w:t>
      </w:r>
      <w:r w:rsidRPr="00AC4703">
        <w:rPr>
          <w:rFonts w:ascii="Times New Roman" w:hAnsi="Times New Roman"/>
          <w:b/>
          <w:sz w:val="30"/>
          <w:szCs w:val="30"/>
        </w:rPr>
        <w:t>твердых видов топлива</w:t>
      </w:r>
      <w:r w:rsidRPr="005F3CD9">
        <w:rPr>
          <w:rFonts w:ascii="Times New Roman" w:hAnsi="Times New Roman"/>
          <w:sz w:val="30"/>
          <w:szCs w:val="30"/>
        </w:rPr>
        <w:t>, реализуемых населению, предусмотрены субсидии в размере 455,6 тыс. руб</w:t>
      </w:r>
      <w:r>
        <w:rPr>
          <w:rFonts w:ascii="Times New Roman" w:hAnsi="Times New Roman"/>
          <w:sz w:val="30"/>
          <w:szCs w:val="30"/>
        </w:rPr>
        <w:t>лей.</w:t>
      </w:r>
      <w:r w:rsidRPr="005F3CD9">
        <w:rPr>
          <w:rFonts w:ascii="Times New Roman" w:hAnsi="Times New Roman"/>
          <w:sz w:val="30"/>
          <w:szCs w:val="30"/>
        </w:rPr>
        <w:t xml:space="preserve"> Субсидии</w:t>
      </w:r>
      <w:r w:rsidRPr="009E643A">
        <w:rPr>
          <w:rFonts w:ascii="Times New Roman" w:hAnsi="Times New Roman"/>
          <w:sz w:val="30"/>
          <w:szCs w:val="30"/>
        </w:rPr>
        <w:t xml:space="preserve"> исчислены исходя из планируемого возмещения разницы между отпускной ценой предприятий-производителей и фиксированной розничной ценой, устанавливаемой облисполкомом, в пределах норм отпуска, размера льгот по оплате твердых видов топлива отдельным категориям граждан в соответствии с действующим законодательством, прогнозируемых прямых затрат, связанных с доставкой твердых видов топлива на склад </w:t>
      </w:r>
      <w:proofErr w:type="spellStart"/>
      <w:r w:rsidRPr="009E643A">
        <w:rPr>
          <w:rFonts w:ascii="Times New Roman" w:hAnsi="Times New Roman"/>
          <w:sz w:val="30"/>
          <w:szCs w:val="30"/>
        </w:rPr>
        <w:t>топливоснабжающих</w:t>
      </w:r>
      <w:proofErr w:type="spellEnd"/>
      <w:r w:rsidRPr="009E643A">
        <w:rPr>
          <w:rFonts w:ascii="Times New Roman" w:hAnsi="Times New Roman"/>
          <w:sz w:val="30"/>
          <w:szCs w:val="30"/>
        </w:rPr>
        <w:t xml:space="preserve"> организаций, их хранением и реализацией населению по фиксированным розничным ценам, а также части торговой надбавки: по реализации населению топливного брикета в размере  до 30% отпускной цены производителя, дров – до 40% отпускной цены производителя.</w:t>
      </w:r>
    </w:p>
    <w:p w:rsidR="0019292A" w:rsidRDefault="0019292A" w:rsidP="0019292A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64F16">
        <w:rPr>
          <w:rFonts w:ascii="Times New Roman" w:hAnsi="Times New Roman"/>
          <w:sz w:val="30"/>
          <w:szCs w:val="30"/>
        </w:rPr>
        <w:t xml:space="preserve">В целях реализации Указа Президента Республики Беларусь от </w:t>
      </w:r>
      <w:r w:rsidRPr="00D64F16">
        <w:rPr>
          <w:rFonts w:ascii="Times New Roman" w:hAnsi="Times New Roman"/>
          <w:sz w:val="30"/>
          <w:szCs w:val="30"/>
        </w:rPr>
        <w:br/>
        <w:t xml:space="preserve">14 апреля 2020 г. № 127 «О возмещении расходов на электроснабжение эксплуатируемого жилищного фонда» предусмотрены средства в сумме 36,0 тыс. рублей на возмещение части расходов в 2021 году на выполнение работ по электроснабжению эксплуатируемого жилищного фонда для нужд отопления, горячего водоснабжения и </w:t>
      </w:r>
      <w:proofErr w:type="spellStart"/>
      <w:r w:rsidRPr="00D64F16">
        <w:rPr>
          <w:rFonts w:ascii="Times New Roman" w:hAnsi="Times New Roman"/>
          <w:sz w:val="30"/>
          <w:szCs w:val="30"/>
        </w:rPr>
        <w:t>пищеприготовления</w:t>
      </w:r>
      <w:proofErr w:type="spellEnd"/>
      <w:r w:rsidRPr="00D64F16">
        <w:rPr>
          <w:rFonts w:ascii="Times New Roman" w:hAnsi="Times New Roman"/>
          <w:sz w:val="30"/>
          <w:szCs w:val="30"/>
        </w:rPr>
        <w:t>.</w:t>
      </w:r>
    </w:p>
    <w:p w:rsidR="008C0B96" w:rsidRDefault="008C0B96" w:rsidP="008C0B96">
      <w:pPr>
        <w:spacing w:after="0" w:line="240" w:lineRule="auto"/>
        <w:ind w:firstLine="709"/>
        <w:jc w:val="center"/>
        <w:rPr>
          <w:rFonts w:ascii="Times New Roman" w:hAnsi="Times New Roman"/>
          <w:b/>
          <w:sz w:val="30"/>
          <w:szCs w:val="30"/>
          <w:u w:val="single"/>
        </w:rPr>
      </w:pPr>
      <w:r w:rsidRPr="008C0B96">
        <w:rPr>
          <w:rFonts w:ascii="Times New Roman" w:hAnsi="Times New Roman"/>
          <w:b/>
          <w:sz w:val="30"/>
          <w:szCs w:val="30"/>
          <w:u w:val="single"/>
        </w:rPr>
        <w:t>ЖКХ и строительство</w:t>
      </w:r>
    </w:p>
    <w:p w:rsidR="008C0B96" w:rsidRPr="008C0B96" w:rsidRDefault="008C0B96" w:rsidP="008C0B96">
      <w:pPr>
        <w:spacing w:after="0" w:line="240" w:lineRule="auto"/>
        <w:ind w:firstLine="709"/>
        <w:jc w:val="center"/>
        <w:rPr>
          <w:rFonts w:ascii="Times New Roman" w:hAnsi="Times New Roman"/>
          <w:b/>
          <w:sz w:val="30"/>
          <w:szCs w:val="30"/>
          <w:u w:val="single"/>
        </w:rPr>
      </w:pPr>
    </w:p>
    <w:p w:rsidR="00A45221" w:rsidRDefault="00A45221" w:rsidP="00A4522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E643A">
        <w:rPr>
          <w:rFonts w:ascii="Times New Roman" w:hAnsi="Times New Roman"/>
          <w:sz w:val="30"/>
          <w:szCs w:val="30"/>
        </w:rPr>
        <w:t xml:space="preserve">Общий объем ассигнований </w:t>
      </w:r>
      <w:r w:rsidRPr="00AC4703">
        <w:rPr>
          <w:rFonts w:ascii="Times New Roman" w:hAnsi="Times New Roman"/>
          <w:b/>
          <w:sz w:val="30"/>
          <w:szCs w:val="30"/>
        </w:rPr>
        <w:t>на жилищно-коммунальные услуги и жилищное строительство</w:t>
      </w:r>
      <w:r w:rsidRPr="009E643A">
        <w:rPr>
          <w:rFonts w:ascii="Times New Roman" w:hAnsi="Times New Roman"/>
          <w:sz w:val="30"/>
          <w:szCs w:val="30"/>
        </w:rPr>
        <w:t xml:space="preserve"> в консолидированном бюджете района </w:t>
      </w:r>
      <w:r w:rsidRPr="009E643A">
        <w:rPr>
          <w:rFonts w:ascii="Times New Roman" w:hAnsi="Times New Roman"/>
          <w:sz w:val="30"/>
          <w:szCs w:val="30"/>
        </w:rPr>
        <w:lastRenderedPageBreak/>
        <w:t>предусматривается в сумме 13 966,6 тыс. рублей или 11,2 % от общего объема расходов бюджета.</w:t>
      </w:r>
    </w:p>
    <w:p w:rsidR="00A45221" w:rsidRPr="009E643A" w:rsidRDefault="00A45221" w:rsidP="00A45221">
      <w:pPr>
        <w:pStyle w:val="2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E643A">
        <w:rPr>
          <w:rFonts w:ascii="Times New Roman" w:hAnsi="Times New Roman"/>
          <w:sz w:val="30"/>
          <w:szCs w:val="30"/>
        </w:rPr>
        <w:t>Расходы на жилищно-коммунальное хозяйство в бюджете района на 2021 год запланированы в сумме 10 785,5 тыс. рублей.</w:t>
      </w:r>
    </w:p>
    <w:p w:rsidR="00A45221" w:rsidRPr="005F3CD9" w:rsidRDefault="00A45221" w:rsidP="00A452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E643A">
        <w:rPr>
          <w:rFonts w:ascii="Times New Roman" w:hAnsi="Times New Roman"/>
          <w:sz w:val="30"/>
          <w:szCs w:val="30"/>
        </w:rPr>
        <w:t>Основной удельный вес в указанной сумме (85,4%) занимают расходы на возмещение части затрат организаций по оказанию жилищно-коммунальных услуг и затрат, связанных с предоставлением отдельным категориям граждан льгот по оплате указанных услуг. На данные цели предусмотрено 9 215,3 тыс. рублей</w:t>
      </w:r>
      <w:r w:rsidR="0048440E">
        <w:rPr>
          <w:rFonts w:ascii="Times New Roman" w:hAnsi="Times New Roman"/>
          <w:sz w:val="30"/>
          <w:szCs w:val="30"/>
        </w:rPr>
        <w:t>.</w:t>
      </w:r>
      <w:r w:rsidRPr="009E643A">
        <w:rPr>
          <w:rFonts w:ascii="Times New Roman" w:hAnsi="Times New Roman"/>
          <w:color w:val="FF0000"/>
          <w:sz w:val="30"/>
          <w:szCs w:val="30"/>
        </w:rPr>
        <w:t xml:space="preserve"> </w:t>
      </w:r>
      <w:r w:rsidRPr="009E643A">
        <w:rPr>
          <w:rFonts w:ascii="Times New Roman" w:hAnsi="Times New Roman"/>
          <w:sz w:val="30"/>
          <w:szCs w:val="30"/>
        </w:rPr>
        <w:t xml:space="preserve">Ассигнования на эти цели предусмотрены с учетом порядка планирования и финансирования расходов организаций по предоставлению жилищно-коммунальных услуг населению. При этом снижение потребности в субсидиях обусловлено ростом тарифов для населения в 2021 году по отношению к планово-расчетным ценам в соответствии с проводимой в республике тарифной политикой по выходу на </w:t>
      </w:r>
      <w:r w:rsidRPr="005F3CD9">
        <w:rPr>
          <w:rFonts w:ascii="Times New Roman" w:hAnsi="Times New Roman"/>
          <w:sz w:val="30"/>
          <w:szCs w:val="30"/>
        </w:rPr>
        <w:t>100-процентный уровень возмещения тарифами затрат.</w:t>
      </w:r>
    </w:p>
    <w:p w:rsidR="00A45221" w:rsidRDefault="00A45221" w:rsidP="0048440E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3CD9">
        <w:rPr>
          <w:rFonts w:ascii="Times New Roman" w:hAnsi="Times New Roman"/>
          <w:sz w:val="30"/>
          <w:szCs w:val="30"/>
        </w:rPr>
        <w:t>Средства на текущий ремонт жилищного фонда распределены с учетом перспективного плана проведения текущего ремонта. На 2021 год планируется направить на текущий ремонт жилищного фонда 329,1</w:t>
      </w:r>
      <w:r w:rsidR="0048440E">
        <w:rPr>
          <w:rFonts w:ascii="Times New Roman" w:hAnsi="Times New Roman"/>
          <w:sz w:val="30"/>
          <w:szCs w:val="30"/>
        </w:rPr>
        <w:t xml:space="preserve"> тыс. рублей</w:t>
      </w:r>
      <w:r w:rsidRPr="005F3CD9">
        <w:rPr>
          <w:rFonts w:ascii="Times New Roman" w:hAnsi="Times New Roman"/>
          <w:sz w:val="30"/>
          <w:szCs w:val="30"/>
        </w:rPr>
        <w:t xml:space="preserve">. Средства на капитальный ремонт жилищного фонда доводятся решением Брестского областного Совета депутатов «Об областном бюджете на 2021 год», в котором определен минимальный норматив бюджетной обеспеченности расходов на проведение капитального ремонта, реконструкции, модернизации объектов жилищно-коммунального хозяйства, включая перевод котельных на местные виды топлива. В 2021 году минимальный норматив составит </w:t>
      </w:r>
      <w:r w:rsidR="0048440E">
        <w:rPr>
          <w:rFonts w:ascii="Times New Roman" w:hAnsi="Times New Roman"/>
          <w:sz w:val="30"/>
          <w:szCs w:val="30"/>
        </w:rPr>
        <w:br/>
      </w:r>
      <w:r w:rsidRPr="005F3CD9">
        <w:rPr>
          <w:rFonts w:ascii="Times New Roman" w:hAnsi="Times New Roman"/>
          <w:sz w:val="30"/>
          <w:szCs w:val="30"/>
        </w:rPr>
        <w:t>1 241,1 т</w:t>
      </w:r>
      <w:r w:rsidR="0048440E">
        <w:rPr>
          <w:rFonts w:ascii="Times New Roman" w:hAnsi="Times New Roman"/>
          <w:sz w:val="30"/>
          <w:szCs w:val="30"/>
        </w:rPr>
        <w:t>ыс. рублей</w:t>
      </w:r>
      <w:r w:rsidRPr="005F3CD9">
        <w:rPr>
          <w:rFonts w:ascii="Times New Roman" w:hAnsi="Times New Roman"/>
          <w:sz w:val="30"/>
          <w:szCs w:val="30"/>
        </w:rPr>
        <w:t>.</w:t>
      </w:r>
    </w:p>
    <w:p w:rsidR="008C0B96" w:rsidRPr="008C0B96" w:rsidRDefault="008C0B96" w:rsidP="008C0B96">
      <w:pPr>
        <w:tabs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30"/>
          <w:szCs w:val="30"/>
          <w:u w:val="single"/>
        </w:rPr>
      </w:pPr>
      <w:r w:rsidRPr="008C0B96">
        <w:rPr>
          <w:rFonts w:ascii="Times New Roman" w:hAnsi="Times New Roman"/>
          <w:b/>
          <w:sz w:val="30"/>
          <w:szCs w:val="30"/>
          <w:u w:val="single"/>
        </w:rPr>
        <w:t>Благоустройство</w:t>
      </w:r>
    </w:p>
    <w:p w:rsidR="00A45221" w:rsidRPr="006407D8" w:rsidRDefault="00A45221" w:rsidP="00A452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highlight w:val="yellow"/>
        </w:rPr>
      </w:pPr>
      <w:r w:rsidRPr="005F3CD9">
        <w:rPr>
          <w:rFonts w:ascii="Times New Roman" w:hAnsi="Times New Roman"/>
          <w:sz w:val="30"/>
          <w:szCs w:val="30"/>
        </w:rPr>
        <w:t xml:space="preserve">На проведение работ по текущему содержанию объектов </w:t>
      </w:r>
      <w:r w:rsidRPr="00AC4703">
        <w:rPr>
          <w:rFonts w:ascii="Times New Roman" w:hAnsi="Times New Roman"/>
          <w:b/>
          <w:sz w:val="30"/>
          <w:szCs w:val="30"/>
        </w:rPr>
        <w:t>благоустройства населенных пунктов</w:t>
      </w:r>
      <w:r w:rsidRPr="005F3CD9">
        <w:rPr>
          <w:rFonts w:ascii="Times New Roman" w:hAnsi="Times New Roman"/>
          <w:sz w:val="30"/>
          <w:szCs w:val="30"/>
        </w:rPr>
        <w:t xml:space="preserve">, в целях обеспечения современного уровня их содержания в соответствии с государственными стандартами, </w:t>
      </w:r>
      <w:r w:rsidRPr="00914058">
        <w:rPr>
          <w:rFonts w:ascii="Times New Roman" w:hAnsi="Times New Roman"/>
          <w:sz w:val="30"/>
          <w:szCs w:val="30"/>
        </w:rPr>
        <w:t>на 2021 год запланирован</w:t>
      </w:r>
      <w:r>
        <w:rPr>
          <w:rFonts w:ascii="Times New Roman" w:hAnsi="Times New Roman"/>
          <w:sz w:val="30"/>
          <w:szCs w:val="30"/>
        </w:rPr>
        <w:t>ы</w:t>
      </w:r>
      <w:r w:rsidRPr="00914058">
        <w:rPr>
          <w:rFonts w:ascii="Times New Roman" w:hAnsi="Times New Roman"/>
          <w:sz w:val="30"/>
          <w:szCs w:val="30"/>
        </w:rPr>
        <w:t xml:space="preserve"> в бюджете района </w:t>
      </w:r>
      <w:r>
        <w:rPr>
          <w:rFonts w:ascii="Times New Roman" w:hAnsi="Times New Roman"/>
          <w:sz w:val="30"/>
          <w:szCs w:val="30"/>
        </w:rPr>
        <w:t xml:space="preserve">средства </w:t>
      </w:r>
      <w:r w:rsidRPr="00914058">
        <w:rPr>
          <w:rFonts w:ascii="Times New Roman" w:hAnsi="Times New Roman"/>
          <w:sz w:val="30"/>
          <w:szCs w:val="30"/>
        </w:rPr>
        <w:t xml:space="preserve">в сумме </w:t>
      </w:r>
      <w:r>
        <w:rPr>
          <w:rFonts w:ascii="Times New Roman" w:hAnsi="Times New Roman"/>
          <w:sz w:val="30"/>
          <w:szCs w:val="30"/>
        </w:rPr>
        <w:br/>
      </w:r>
      <w:r w:rsidRPr="00914058">
        <w:rPr>
          <w:rFonts w:ascii="Times New Roman" w:hAnsi="Times New Roman"/>
          <w:sz w:val="30"/>
          <w:szCs w:val="30"/>
        </w:rPr>
        <w:t xml:space="preserve">2 967,6 </w:t>
      </w:r>
      <w:r w:rsidR="0048440E">
        <w:rPr>
          <w:rFonts w:ascii="Times New Roman" w:hAnsi="Times New Roman"/>
          <w:sz w:val="30"/>
          <w:szCs w:val="30"/>
        </w:rPr>
        <w:t>тыс. рублей.</w:t>
      </w:r>
      <w:r w:rsidRPr="00914058">
        <w:rPr>
          <w:rFonts w:ascii="Times New Roman" w:hAnsi="Times New Roman"/>
          <w:sz w:val="30"/>
          <w:szCs w:val="30"/>
        </w:rPr>
        <w:t xml:space="preserve"> </w:t>
      </w:r>
    </w:p>
    <w:p w:rsidR="00A45221" w:rsidRPr="005F3CD9" w:rsidRDefault="00A45221" w:rsidP="00A452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3CD9">
        <w:rPr>
          <w:rFonts w:ascii="Times New Roman" w:hAnsi="Times New Roman"/>
          <w:sz w:val="30"/>
          <w:szCs w:val="30"/>
        </w:rPr>
        <w:t>При этом, на финансирование расходов по благоустройству в районном бюджете предусматривается 2 584,4 тыс. рублей, расходы сельских бюджетов составят 383,2 тыс. рублей.</w:t>
      </w:r>
    </w:p>
    <w:p w:rsidR="00A45221" w:rsidRPr="005F3CD9" w:rsidRDefault="00A45221" w:rsidP="00A452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3CD9">
        <w:rPr>
          <w:rFonts w:ascii="Times New Roman" w:hAnsi="Times New Roman"/>
          <w:sz w:val="30"/>
          <w:szCs w:val="30"/>
        </w:rPr>
        <w:t>Указанные средства будут направлены на содержание и ремонт объектов внешнего благоустройства, содержание и благоустройство придомовых территорий, освещение населенных пунктов, содержание и ремонт улично-дорожной сети и другие работы в соответствии с законодательством.</w:t>
      </w:r>
    </w:p>
    <w:p w:rsidR="00A45221" w:rsidRPr="005F3CD9" w:rsidRDefault="00A45221" w:rsidP="00A452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3CD9">
        <w:rPr>
          <w:rFonts w:ascii="Times New Roman" w:hAnsi="Times New Roman"/>
          <w:sz w:val="30"/>
          <w:szCs w:val="30"/>
        </w:rPr>
        <w:lastRenderedPageBreak/>
        <w:t xml:space="preserve">На финансирование </w:t>
      </w:r>
      <w:r w:rsidRPr="00AC4703">
        <w:rPr>
          <w:rFonts w:ascii="Times New Roman" w:hAnsi="Times New Roman"/>
          <w:b/>
          <w:sz w:val="30"/>
          <w:szCs w:val="30"/>
        </w:rPr>
        <w:t>прочих расходов в области жилищно-коммунального хозяйства</w:t>
      </w:r>
      <w:r w:rsidRPr="005F3CD9">
        <w:rPr>
          <w:rFonts w:ascii="Times New Roman" w:hAnsi="Times New Roman"/>
          <w:sz w:val="30"/>
          <w:szCs w:val="30"/>
        </w:rPr>
        <w:t xml:space="preserve"> предусмотрено 182,6 тыс. рублей, которые будут направлены:</w:t>
      </w:r>
    </w:p>
    <w:p w:rsidR="00A45221" w:rsidRPr="005F3CD9" w:rsidRDefault="00A45221" w:rsidP="00A452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3CD9">
        <w:rPr>
          <w:rFonts w:ascii="Times New Roman" w:hAnsi="Times New Roman"/>
          <w:sz w:val="30"/>
          <w:szCs w:val="30"/>
        </w:rPr>
        <w:t>на возмещение расходов, связанных с выполнением функций по предоставлению безналичных жилищных субсидий – 42,7 тыс. рублей;</w:t>
      </w:r>
    </w:p>
    <w:p w:rsidR="00A45221" w:rsidRPr="005F3CD9" w:rsidRDefault="00A45221" w:rsidP="00A452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3CD9">
        <w:rPr>
          <w:rFonts w:ascii="Times New Roman" w:hAnsi="Times New Roman"/>
          <w:sz w:val="30"/>
          <w:szCs w:val="30"/>
        </w:rPr>
        <w:t>на возмещение расходов, связанных с регистрацией граждан по месту жительства и месту пребывания – 71,1 тыс. рублей;</w:t>
      </w:r>
    </w:p>
    <w:p w:rsidR="00A45221" w:rsidRDefault="00A45221" w:rsidP="00A452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3CD9">
        <w:rPr>
          <w:rFonts w:ascii="Times New Roman" w:hAnsi="Times New Roman"/>
          <w:sz w:val="30"/>
          <w:szCs w:val="30"/>
        </w:rPr>
        <w:t>на возмещение части расходов организаций по оказанию населению услуг бань общего пользования и душевых – 68,8 тыс. рублей.</w:t>
      </w:r>
    </w:p>
    <w:p w:rsidR="000D1933" w:rsidRDefault="000D1933" w:rsidP="0088003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004EFA" w:rsidRPr="008C0B96" w:rsidRDefault="00004EFA" w:rsidP="0088003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C0B96">
        <w:rPr>
          <w:rFonts w:ascii="Times New Roman" w:eastAsia="Times New Roman" w:hAnsi="Times New Roman"/>
          <w:sz w:val="30"/>
          <w:szCs w:val="30"/>
          <w:lang w:eastAsia="ru-RU"/>
        </w:rPr>
        <w:t xml:space="preserve">Общая сумма средств на </w:t>
      </w:r>
      <w:r w:rsidR="00DE21C3" w:rsidRPr="008C0B96">
        <w:rPr>
          <w:rFonts w:ascii="Times New Roman" w:eastAsia="Times New Roman" w:hAnsi="Times New Roman"/>
          <w:b/>
          <w:i/>
          <w:sz w:val="32"/>
          <w:szCs w:val="32"/>
          <w:lang w:eastAsia="ru-RU"/>
        </w:rPr>
        <w:t xml:space="preserve">социальную </w:t>
      </w:r>
      <w:r w:rsidRPr="008C0B96">
        <w:rPr>
          <w:rFonts w:ascii="Times New Roman" w:eastAsia="Times New Roman" w:hAnsi="Times New Roman"/>
          <w:b/>
          <w:i/>
          <w:sz w:val="32"/>
          <w:szCs w:val="32"/>
          <w:lang w:eastAsia="ru-RU"/>
        </w:rPr>
        <w:t>сфер</w:t>
      </w:r>
      <w:r w:rsidR="00DE21C3" w:rsidRPr="008C0B96">
        <w:rPr>
          <w:rFonts w:ascii="Times New Roman" w:eastAsia="Times New Roman" w:hAnsi="Times New Roman"/>
          <w:b/>
          <w:i/>
          <w:sz w:val="32"/>
          <w:szCs w:val="32"/>
          <w:lang w:eastAsia="ru-RU"/>
        </w:rPr>
        <w:t>у</w:t>
      </w:r>
      <w:r w:rsidRPr="008C0B96">
        <w:rPr>
          <w:rFonts w:ascii="Times New Roman" w:eastAsia="Times New Roman" w:hAnsi="Times New Roman"/>
          <w:sz w:val="30"/>
          <w:szCs w:val="30"/>
          <w:lang w:eastAsia="ru-RU"/>
        </w:rPr>
        <w:t xml:space="preserve"> в </w:t>
      </w:r>
      <w:r w:rsidR="0015791E" w:rsidRPr="008C0B96">
        <w:rPr>
          <w:rFonts w:ascii="Times New Roman" w:eastAsia="Times New Roman" w:hAnsi="Times New Roman"/>
          <w:sz w:val="30"/>
          <w:szCs w:val="30"/>
          <w:lang w:eastAsia="ru-RU"/>
        </w:rPr>
        <w:t>районном</w:t>
      </w:r>
      <w:r w:rsidRPr="008C0B96">
        <w:rPr>
          <w:rFonts w:ascii="Times New Roman" w:eastAsia="Times New Roman" w:hAnsi="Times New Roman"/>
          <w:sz w:val="30"/>
          <w:szCs w:val="30"/>
          <w:lang w:eastAsia="ru-RU"/>
        </w:rPr>
        <w:t xml:space="preserve"> бюджете определена в размере </w:t>
      </w:r>
      <w:r w:rsidR="008C0B96" w:rsidRPr="008C0B96">
        <w:rPr>
          <w:rFonts w:ascii="Times New Roman" w:eastAsia="Times New Roman" w:hAnsi="Times New Roman"/>
          <w:sz w:val="30"/>
          <w:szCs w:val="30"/>
          <w:lang w:eastAsia="ru-RU"/>
        </w:rPr>
        <w:t>96 258,2</w:t>
      </w:r>
      <w:r w:rsidR="00DE21C3" w:rsidRPr="008C0B96">
        <w:rPr>
          <w:rFonts w:ascii="Times New Roman" w:eastAsia="Times New Roman" w:hAnsi="Times New Roman"/>
          <w:sz w:val="30"/>
          <w:szCs w:val="30"/>
          <w:lang w:eastAsia="ru-RU"/>
        </w:rPr>
        <w:t xml:space="preserve"> тыс.</w:t>
      </w:r>
      <w:r w:rsidRPr="008C0B96">
        <w:rPr>
          <w:rFonts w:ascii="Times New Roman" w:eastAsia="Times New Roman" w:hAnsi="Times New Roman"/>
          <w:sz w:val="30"/>
          <w:szCs w:val="30"/>
          <w:lang w:eastAsia="ru-RU"/>
        </w:rPr>
        <w:t xml:space="preserve"> рублей</w:t>
      </w:r>
      <w:r w:rsidR="00B7100B" w:rsidRPr="008C0B96">
        <w:rPr>
          <w:rFonts w:ascii="Times New Roman" w:eastAsia="Times New Roman" w:hAnsi="Times New Roman"/>
          <w:sz w:val="30"/>
          <w:szCs w:val="30"/>
          <w:lang w:eastAsia="ru-RU"/>
        </w:rPr>
        <w:t xml:space="preserve"> (</w:t>
      </w:r>
      <w:r w:rsidR="008C0B96" w:rsidRPr="008C0B96">
        <w:rPr>
          <w:rFonts w:ascii="Times New Roman" w:eastAsia="Times New Roman" w:hAnsi="Times New Roman"/>
          <w:sz w:val="30"/>
          <w:szCs w:val="30"/>
          <w:lang w:eastAsia="ru-RU"/>
        </w:rPr>
        <w:t>77,1</w:t>
      </w:r>
      <w:r w:rsidR="00261AC8" w:rsidRPr="008C0B96">
        <w:rPr>
          <w:rFonts w:ascii="Times New Roman" w:eastAsia="Times New Roman" w:hAnsi="Times New Roman"/>
          <w:sz w:val="30"/>
          <w:szCs w:val="30"/>
          <w:lang w:eastAsia="ru-RU"/>
        </w:rPr>
        <w:t>%</w:t>
      </w:r>
      <w:r w:rsidR="00B967F4" w:rsidRPr="008C0B96">
        <w:rPr>
          <w:rFonts w:ascii="Times New Roman" w:eastAsia="Times New Roman" w:hAnsi="Times New Roman"/>
          <w:sz w:val="30"/>
          <w:szCs w:val="30"/>
          <w:lang w:eastAsia="ru-RU"/>
        </w:rPr>
        <w:t>)</w:t>
      </w:r>
      <w:r w:rsidR="00261AC8" w:rsidRPr="008C0B96">
        <w:rPr>
          <w:rFonts w:ascii="Times New Roman" w:eastAsia="Times New Roman" w:hAnsi="Times New Roman"/>
          <w:sz w:val="30"/>
          <w:szCs w:val="30"/>
          <w:lang w:eastAsia="ru-RU"/>
        </w:rPr>
        <w:t xml:space="preserve"> от всего объема расходов консолидированного бюджета),</w:t>
      </w:r>
      <w:r w:rsidRPr="008C0B96">
        <w:rPr>
          <w:rFonts w:ascii="Times New Roman" w:eastAsia="Times New Roman" w:hAnsi="Times New Roman"/>
          <w:sz w:val="30"/>
          <w:szCs w:val="30"/>
          <w:lang w:eastAsia="ru-RU"/>
        </w:rPr>
        <w:t xml:space="preserve"> из которых на </w:t>
      </w:r>
      <w:r w:rsidRPr="008C0B96">
        <w:rPr>
          <w:rFonts w:ascii="Times New Roman" w:eastAsia="Times New Roman" w:hAnsi="Times New Roman"/>
          <w:b/>
          <w:sz w:val="30"/>
          <w:szCs w:val="30"/>
          <w:lang w:eastAsia="ru-RU"/>
        </w:rPr>
        <w:t>образование</w:t>
      </w:r>
      <w:r w:rsidRPr="008C0B96">
        <w:rPr>
          <w:rFonts w:ascii="Times New Roman" w:eastAsia="Times New Roman" w:hAnsi="Times New Roman"/>
          <w:sz w:val="30"/>
          <w:szCs w:val="30"/>
          <w:lang w:eastAsia="ru-RU"/>
        </w:rPr>
        <w:t xml:space="preserve"> выделяется </w:t>
      </w:r>
      <w:r w:rsidR="00AC4703" w:rsidRPr="008C0B96">
        <w:rPr>
          <w:rFonts w:ascii="Times New Roman" w:eastAsia="Times New Roman" w:hAnsi="Times New Roman"/>
          <w:sz w:val="30"/>
          <w:szCs w:val="30"/>
          <w:lang w:eastAsia="ru-RU"/>
        </w:rPr>
        <w:t>51 599,6</w:t>
      </w:r>
      <w:r w:rsidR="006E2BC6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bookmarkStart w:id="0" w:name="_GoBack"/>
      <w:bookmarkEnd w:id="0"/>
      <w:r w:rsidRPr="008C0B96">
        <w:rPr>
          <w:rFonts w:ascii="Times New Roman" w:eastAsia="Times New Roman" w:hAnsi="Times New Roman"/>
          <w:sz w:val="30"/>
          <w:szCs w:val="30"/>
          <w:lang w:eastAsia="ru-RU"/>
        </w:rPr>
        <w:t xml:space="preserve">тыс. рублей, </w:t>
      </w:r>
      <w:r w:rsidRPr="008C0B96">
        <w:rPr>
          <w:rFonts w:ascii="Times New Roman" w:eastAsia="Times New Roman" w:hAnsi="Times New Roman"/>
          <w:b/>
          <w:sz w:val="30"/>
          <w:szCs w:val="30"/>
          <w:lang w:eastAsia="ru-RU"/>
        </w:rPr>
        <w:t>здравоохранение</w:t>
      </w:r>
      <w:r w:rsidRPr="008C0B96">
        <w:rPr>
          <w:rFonts w:ascii="Times New Roman" w:eastAsia="Times New Roman" w:hAnsi="Times New Roman"/>
          <w:sz w:val="30"/>
          <w:szCs w:val="30"/>
          <w:lang w:eastAsia="ru-RU"/>
        </w:rPr>
        <w:t xml:space="preserve"> – </w:t>
      </w:r>
      <w:r w:rsidR="00AC4703" w:rsidRPr="008C0B96">
        <w:rPr>
          <w:rFonts w:ascii="Times New Roman" w:eastAsia="Times New Roman" w:hAnsi="Times New Roman"/>
          <w:sz w:val="30"/>
          <w:szCs w:val="30"/>
          <w:lang w:eastAsia="ru-RU"/>
        </w:rPr>
        <w:t>33 595,9</w:t>
      </w:r>
      <w:r w:rsidRPr="008C0B96">
        <w:rPr>
          <w:rFonts w:ascii="Times New Roman" w:eastAsia="Times New Roman" w:hAnsi="Times New Roman"/>
          <w:sz w:val="30"/>
          <w:szCs w:val="30"/>
          <w:lang w:eastAsia="ru-RU"/>
        </w:rPr>
        <w:t xml:space="preserve"> тыс. рублей, </w:t>
      </w:r>
      <w:r w:rsidRPr="008C0B96">
        <w:rPr>
          <w:rFonts w:ascii="Times New Roman" w:eastAsia="Times New Roman" w:hAnsi="Times New Roman"/>
          <w:b/>
          <w:sz w:val="30"/>
          <w:szCs w:val="30"/>
          <w:lang w:eastAsia="ru-RU"/>
        </w:rPr>
        <w:t>физическую культуру, спорт, культуру и средства массовой информации</w:t>
      </w:r>
      <w:r w:rsidRPr="008C0B96">
        <w:rPr>
          <w:rFonts w:ascii="Times New Roman" w:eastAsia="Times New Roman" w:hAnsi="Times New Roman"/>
          <w:sz w:val="30"/>
          <w:szCs w:val="30"/>
          <w:lang w:eastAsia="ru-RU"/>
        </w:rPr>
        <w:t xml:space="preserve"> – </w:t>
      </w:r>
      <w:r w:rsidR="00AC4703" w:rsidRPr="008C0B96">
        <w:rPr>
          <w:rFonts w:ascii="Times New Roman" w:eastAsia="Times New Roman" w:hAnsi="Times New Roman"/>
          <w:sz w:val="30"/>
          <w:szCs w:val="30"/>
          <w:lang w:eastAsia="ru-RU"/>
        </w:rPr>
        <w:t>6 474,9</w:t>
      </w:r>
      <w:r w:rsidRPr="008C0B96">
        <w:rPr>
          <w:rFonts w:ascii="Times New Roman" w:eastAsia="Times New Roman" w:hAnsi="Times New Roman"/>
          <w:sz w:val="30"/>
          <w:szCs w:val="30"/>
          <w:lang w:eastAsia="ru-RU"/>
        </w:rPr>
        <w:t xml:space="preserve"> тыс. рублей, на </w:t>
      </w:r>
      <w:r w:rsidRPr="008C0B96">
        <w:rPr>
          <w:rFonts w:ascii="Times New Roman" w:eastAsia="Times New Roman" w:hAnsi="Times New Roman"/>
          <w:b/>
          <w:sz w:val="30"/>
          <w:szCs w:val="30"/>
          <w:lang w:eastAsia="ru-RU"/>
        </w:rPr>
        <w:t>социальную политику</w:t>
      </w:r>
      <w:r w:rsidRPr="008C0B96">
        <w:rPr>
          <w:rFonts w:ascii="Times New Roman" w:eastAsia="Times New Roman" w:hAnsi="Times New Roman"/>
          <w:sz w:val="30"/>
          <w:szCs w:val="30"/>
          <w:lang w:eastAsia="ru-RU"/>
        </w:rPr>
        <w:t xml:space="preserve"> – </w:t>
      </w:r>
      <w:r w:rsidR="00AC4703" w:rsidRPr="008C0B96">
        <w:rPr>
          <w:rFonts w:ascii="Times New Roman" w:eastAsia="Times New Roman" w:hAnsi="Times New Roman"/>
          <w:sz w:val="30"/>
          <w:szCs w:val="30"/>
          <w:lang w:eastAsia="ru-RU"/>
        </w:rPr>
        <w:t>4 587,8</w:t>
      </w:r>
      <w:r w:rsidRPr="008C0B96">
        <w:rPr>
          <w:rFonts w:ascii="Times New Roman" w:eastAsia="Times New Roman" w:hAnsi="Times New Roman"/>
          <w:sz w:val="30"/>
          <w:szCs w:val="30"/>
          <w:lang w:eastAsia="ru-RU"/>
        </w:rPr>
        <w:t xml:space="preserve"> тыс. рублей. </w:t>
      </w:r>
    </w:p>
    <w:p w:rsidR="00D537C5" w:rsidRPr="00631168" w:rsidRDefault="00D537C5" w:rsidP="0088003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8B6785" w:rsidRPr="00631168" w:rsidRDefault="008B6785" w:rsidP="00D067DB">
      <w:pPr>
        <w:spacing w:after="0" w:line="240" w:lineRule="auto"/>
        <w:ind w:firstLine="709"/>
        <w:jc w:val="center"/>
        <w:rPr>
          <w:rFonts w:ascii="Times New Roman" w:hAnsi="Times New Roman"/>
          <w:b/>
          <w:sz w:val="30"/>
          <w:szCs w:val="30"/>
          <w:u w:val="single"/>
        </w:rPr>
      </w:pPr>
      <w:r w:rsidRPr="00631168">
        <w:rPr>
          <w:rFonts w:ascii="Times New Roman" w:hAnsi="Times New Roman"/>
          <w:b/>
          <w:sz w:val="30"/>
          <w:szCs w:val="30"/>
          <w:u w:val="single"/>
        </w:rPr>
        <w:t>Социальная политика</w:t>
      </w:r>
    </w:p>
    <w:p w:rsidR="00416559" w:rsidRPr="00631168" w:rsidRDefault="00416559" w:rsidP="00D067DB">
      <w:pPr>
        <w:spacing w:after="0" w:line="240" w:lineRule="auto"/>
        <w:ind w:firstLine="709"/>
        <w:jc w:val="center"/>
        <w:rPr>
          <w:rFonts w:ascii="Times New Roman" w:hAnsi="Times New Roman"/>
          <w:b/>
          <w:sz w:val="30"/>
          <w:szCs w:val="30"/>
          <w:u w:val="single"/>
        </w:rPr>
      </w:pPr>
    </w:p>
    <w:p w:rsidR="00A45221" w:rsidRPr="005949BD" w:rsidRDefault="00A45221" w:rsidP="00A45221">
      <w:pPr>
        <w:pStyle w:val="a9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949BD">
        <w:rPr>
          <w:rFonts w:ascii="Times New Roman" w:hAnsi="Times New Roman"/>
          <w:sz w:val="30"/>
          <w:szCs w:val="30"/>
        </w:rPr>
        <w:t>На социальную политику в бюджете района предусмотрены средства в сумме 4 587,8 тыс. рублей, или 3,7% расходов бюджета.</w:t>
      </w:r>
    </w:p>
    <w:p w:rsidR="00A45221" w:rsidRPr="005949BD" w:rsidRDefault="00A45221" w:rsidP="00A452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949BD">
        <w:rPr>
          <w:rFonts w:ascii="Times New Roman" w:hAnsi="Times New Roman"/>
          <w:sz w:val="30"/>
          <w:szCs w:val="30"/>
        </w:rPr>
        <w:t>Расходы на содержание учреждений социальной защиты и обеспечение гарантий по социальной защите детей сирот и детей, оставшихся без попечения родителей, предусмотр</w:t>
      </w:r>
      <w:r>
        <w:rPr>
          <w:rFonts w:ascii="Times New Roman" w:hAnsi="Times New Roman"/>
          <w:sz w:val="30"/>
          <w:szCs w:val="30"/>
        </w:rPr>
        <w:t xml:space="preserve">ены в сумме </w:t>
      </w:r>
      <w:r w:rsidR="008C0B96">
        <w:rPr>
          <w:rFonts w:ascii="Times New Roman" w:hAnsi="Times New Roman"/>
          <w:sz w:val="30"/>
          <w:szCs w:val="30"/>
        </w:rPr>
        <w:br/>
      </w:r>
      <w:r>
        <w:rPr>
          <w:rFonts w:ascii="Times New Roman" w:hAnsi="Times New Roman"/>
          <w:sz w:val="30"/>
          <w:szCs w:val="30"/>
        </w:rPr>
        <w:t>2 432,5 тыс. рублей.</w:t>
      </w:r>
    </w:p>
    <w:p w:rsidR="00A45221" w:rsidRPr="005949BD" w:rsidRDefault="00A45221" w:rsidP="00A452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4251C">
        <w:rPr>
          <w:rFonts w:ascii="Times New Roman" w:hAnsi="Times New Roman"/>
          <w:sz w:val="30"/>
          <w:szCs w:val="30"/>
        </w:rPr>
        <w:t>На первоочередные статьи расходов предполагается направить 2 403,4 тыс. рублей, или 98,8% всех расходов отрасли. На</w:t>
      </w:r>
      <w:r w:rsidRPr="00A50068">
        <w:rPr>
          <w:rFonts w:ascii="Times New Roman" w:hAnsi="Times New Roman"/>
          <w:sz w:val="30"/>
          <w:szCs w:val="30"/>
        </w:rPr>
        <w:t xml:space="preserve"> заработную плату и отчисления запланированы расходы в сумме 1 794,3 тыс. рублей, или 73,8% предусмотренных средств на отрасль. </w:t>
      </w:r>
    </w:p>
    <w:p w:rsidR="00A45221" w:rsidRPr="00DE3F06" w:rsidRDefault="00A45221" w:rsidP="00A452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42470">
        <w:rPr>
          <w:rFonts w:ascii="Times New Roman" w:hAnsi="Times New Roman"/>
          <w:sz w:val="30"/>
          <w:szCs w:val="30"/>
        </w:rPr>
        <w:t>На государственную адресную социальную помощь, единовременную выплату семьям при рождении двоих и более детей, на приобретение детских вещей первой необходимости, питание детей первых двух лет жизни планируется направить 1 656,8 тыс. рублей. В составе данных расходов определены ассигнования на государственную адресную социальную помощь с учетом принятия Указа Президента Республики Беларусь от 8 мая 2020 г. № 171 «О государственной поддержке отдельных категорий граждан» в размере 1 395,4 тыс. рублей</w:t>
      </w:r>
      <w:r w:rsidRPr="00DE3F06">
        <w:rPr>
          <w:rFonts w:ascii="Times New Roman" w:hAnsi="Times New Roman"/>
          <w:sz w:val="30"/>
          <w:szCs w:val="30"/>
        </w:rPr>
        <w:t>.</w:t>
      </w:r>
    </w:p>
    <w:p w:rsidR="00A45221" w:rsidRPr="00B42470" w:rsidRDefault="00A45221" w:rsidP="00A452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42470">
        <w:rPr>
          <w:rFonts w:ascii="Times New Roman" w:hAnsi="Times New Roman"/>
          <w:sz w:val="30"/>
          <w:szCs w:val="30"/>
        </w:rPr>
        <w:t xml:space="preserve">Со значительным ростом предусмотрены расходы на оказание помощи к новому учебному году многодетным семьям – </w:t>
      </w:r>
      <w:r w:rsidR="008C0B96">
        <w:rPr>
          <w:rFonts w:ascii="Times New Roman" w:hAnsi="Times New Roman"/>
          <w:sz w:val="30"/>
          <w:szCs w:val="30"/>
        </w:rPr>
        <w:br/>
      </w:r>
      <w:r w:rsidRPr="00B42470">
        <w:rPr>
          <w:rFonts w:ascii="Times New Roman" w:hAnsi="Times New Roman"/>
          <w:sz w:val="30"/>
          <w:szCs w:val="30"/>
        </w:rPr>
        <w:t xml:space="preserve">264,9 тыс. рублей или в 2,7 раза к расходам 2020 года. Это связано с планируемыми изменениями в законодательстве, которые </w:t>
      </w:r>
      <w:r w:rsidRPr="00B42470">
        <w:rPr>
          <w:rFonts w:ascii="Times New Roman" w:hAnsi="Times New Roman"/>
          <w:sz w:val="30"/>
          <w:szCs w:val="30"/>
        </w:rPr>
        <w:lastRenderedPageBreak/>
        <w:t xml:space="preserve">предусматривают выплаты в размере 30% БПМ (ранее было предусмотрено до 30% БПМ и ее размер определялся устанавливался ежегодно в зависимости от финансовых возможностей региона). </w:t>
      </w:r>
    </w:p>
    <w:p w:rsidR="00A45221" w:rsidRPr="00CD5831" w:rsidRDefault="00A45221" w:rsidP="00A4522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D5831">
        <w:rPr>
          <w:rFonts w:ascii="Times New Roman" w:hAnsi="Times New Roman"/>
          <w:sz w:val="30"/>
          <w:szCs w:val="30"/>
        </w:rPr>
        <w:t>Так же в бюджете предусматриваются средства и на другие мероприятия социальной защиты населения (удешевление путевок в оздоровительные лагеря детям-сиротам, компенсация молодым специалистам по найму жилья, пособие на погребение в отдельных случаях и др.) в размере 90,3 тыс. рублей.</w:t>
      </w:r>
    </w:p>
    <w:p w:rsidR="00A45221" w:rsidRPr="006407D8" w:rsidRDefault="00A45221" w:rsidP="00A4522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highlight w:val="yellow"/>
        </w:rPr>
      </w:pPr>
      <w:r w:rsidRPr="00B42470">
        <w:rPr>
          <w:rFonts w:ascii="Times New Roman" w:hAnsi="Times New Roman"/>
          <w:sz w:val="30"/>
          <w:szCs w:val="30"/>
        </w:rPr>
        <w:t xml:space="preserve">Расходы на поддержку ветеранских организаций предусмотрены в сумме 12,6 тыс. рублей. </w:t>
      </w:r>
    </w:p>
    <w:p w:rsidR="00A45221" w:rsidRPr="00D64F16" w:rsidRDefault="00A45221" w:rsidP="00A45221">
      <w:pPr>
        <w:spacing w:after="0" w:line="240" w:lineRule="auto"/>
        <w:ind w:firstLine="709"/>
        <w:jc w:val="center"/>
        <w:rPr>
          <w:rFonts w:ascii="Times New Roman" w:hAnsi="Times New Roman"/>
          <w:b/>
          <w:sz w:val="30"/>
          <w:szCs w:val="30"/>
        </w:rPr>
      </w:pPr>
      <w:r w:rsidRPr="00D64F16">
        <w:rPr>
          <w:rFonts w:ascii="Times New Roman" w:hAnsi="Times New Roman"/>
          <w:b/>
          <w:sz w:val="30"/>
          <w:szCs w:val="30"/>
        </w:rPr>
        <w:t>Помощь в обеспечении жильем</w:t>
      </w:r>
    </w:p>
    <w:p w:rsidR="00A45221" w:rsidRPr="00D64F16" w:rsidRDefault="00A45221" w:rsidP="00A4522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64F16">
        <w:rPr>
          <w:rFonts w:ascii="Times New Roman" w:hAnsi="Times New Roman"/>
          <w:sz w:val="30"/>
          <w:szCs w:val="30"/>
        </w:rPr>
        <w:t xml:space="preserve">На предоставление гражданам Республики Беларусь одноразовых субсидий на строительство (реконструкцию) или приобретение жилых помещений и погашение задолженности по льготным кредитам, полученным на строительство (реконструкцию) или приобретение жилых помещений, и оказание финансовой поддержки государства молодым и многодетным семьям в погашении задолженности по кредитам, выданным банками на строительство (реконструкцию) или приобретение жилых помещений, без предоставления льгот по эти кредитам; на оплату расходов, связанных с предоставлением гражданам субсидий на уплату части процентов и на погашение основного долга за счет субвенций; на расходы по системе жилищных строительных сбережений планируется направить 122,0 тыс. рублей. </w:t>
      </w:r>
    </w:p>
    <w:p w:rsidR="00A45221" w:rsidRPr="00D64F16" w:rsidRDefault="00A45221" w:rsidP="00A4522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64F16">
        <w:rPr>
          <w:rFonts w:ascii="Times New Roman" w:hAnsi="Times New Roman"/>
          <w:sz w:val="30"/>
          <w:szCs w:val="30"/>
        </w:rPr>
        <w:t>На реализацию государственной молодежной политики в 2021 году предусмотрено направить 8,8 тыс. рублей</w:t>
      </w:r>
      <w:r>
        <w:rPr>
          <w:rFonts w:ascii="Times New Roman" w:hAnsi="Times New Roman"/>
          <w:sz w:val="30"/>
          <w:szCs w:val="30"/>
        </w:rPr>
        <w:t>.</w:t>
      </w:r>
    </w:p>
    <w:p w:rsidR="00A45221" w:rsidRPr="006407D8" w:rsidRDefault="00A45221" w:rsidP="00A45221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  <w:highlight w:val="yellow"/>
        </w:rPr>
      </w:pPr>
    </w:p>
    <w:p w:rsidR="006902AD" w:rsidRPr="00631168" w:rsidRDefault="006902AD" w:rsidP="00D067DB">
      <w:pPr>
        <w:spacing w:after="0" w:line="240" w:lineRule="auto"/>
        <w:ind w:firstLine="709"/>
        <w:jc w:val="center"/>
        <w:rPr>
          <w:rFonts w:ascii="Times New Roman" w:hAnsi="Times New Roman"/>
          <w:b/>
          <w:sz w:val="30"/>
          <w:szCs w:val="30"/>
          <w:u w:val="single"/>
        </w:rPr>
      </w:pPr>
      <w:r w:rsidRPr="00631168">
        <w:rPr>
          <w:rFonts w:ascii="Times New Roman" w:hAnsi="Times New Roman"/>
          <w:b/>
          <w:sz w:val="30"/>
          <w:szCs w:val="30"/>
          <w:u w:val="single"/>
        </w:rPr>
        <w:t>Здравоохранение</w:t>
      </w:r>
    </w:p>
    <w:p w:rsidR="00E34C19" w:rsidRPr="00631168" w:rsidRDefault="00E34C19" w:rsidP="00D067DB">
      <w:pPr>
        <w:spacing w:after="0" w:line="240" w:lineRule="auto"/>
        <w:ind w:firstLine="709"/>
        <w:jc w:val="center"/>
        <w:rPr>
          <w:rFonts w:ascii="Times New Roman" w:hAnsi="Times New Roman"/>
          <w:b/>
          <w:sz w:val="30"/>
          <w:szCs w:val="30"/>
          <w:u w:val="single"/>
        </w:rPr>
      </w:pPr>
    </w:p>
    <w:p w:rsidR="003E61A4" w:rsidRPr="00D64F16" w:rsidRDefault="003E61A4" w:rsidP="003E61A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64F16">
        <w:rPr>
          <w:rFonts w:ascii="Times New Roman" w:hAnsi="Times New Roman"/>
          <w:sz w:val="30"/>
          <w:szCs w:val="30"/>
        </w:rPr>
        <w:t xml:space="preserve">Минимальный норматив бюджетной обеспеченности расходов на здравоохранение в расчете на одного жителя по району на 2021 год определен в сумме 398,06 рубля. Исходя из норматива на содержание организаций здравоохранения планируется направить </w:t>
      </w:r>
      <w:r w:rsidRPr="00D64F16">
        <w:rPr>
          <w:rFonts w:ascii="Times New Roman" w:hAnsi="Times New Roman"/>
          <w:sz w:val="30"/>
          <w:szCs w:val="30"/>
        </w:rPr>
        <w:br/>
        <w:t>33 595,9 тыс. рублей, или с темпом роста в 95,9% к ожидаемому исполнению за 2020 год.</w:t>
      </w:r>
    </w:p>
    <w:p w:rsidR="003E61A4" w:rsidRPr="00D64F16" w:rsidRDefault="003E61A4" w:rsidP="003E61A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64F16">
        <w:rPr>
          <w:rFonts w:ascii="Times New Roman" w:hAnsi="Times New Roman"/>
          <w:sz w:val="30"/>
          <w:szCs w:val="30"/>
        </w:rPr>
        <w:t>На оказание медицинской помощи в амбулаторных условиях с учетом скорой медицинской помощи направляются средства исходя из минимального норматива бюджетной обеспеченности расходов на здравоохранение в расчете на одного жителя в размере не менее 40 процентов от общего объема финансирования расходов на здравоохранение, предусмотренных для соответствующей административно-территориальной единицы.</w:t>
      </w:r>
    </w:p>
    <w:p w:rsidR="003E61A4" w:rsidRPr="00D64F16" w:rsidRDefault="003E61A4" w:rsidP="003E61A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64F16">
        <w:rPr>
          <w:rFonts w:ascii="Times New Roman" w:hAnsi="Times New Roman"/>
          <w:sz w:val="30"/>
          <w:szCs w:val="30"/>
        </w:rPr>
        <w:t xml:space="preserve">На первоочередные расходы планируется направить </w:t>
      </w:r>
      <w:r w:rsidRPr="00D64F16">
        <w:rPr>
          <w:rFonts w:ascii="Times New Roman" w:hAnsi="Times New Roman"/>
          <w:sz w:val="30"/>
          <w:szCs w:val="30"/>
        </w:rPr>
        <w:br/>
        <w:t xml:space="preserve">32 163,6 тыс. рублей, или 95,7% всех расходов. В первоочередных </w:t>
      </w:r>
      <w:r w:rsidRPr="00D64F16">
        <w:rPr>
          <w:rFonts w:ascii="Times New Roman" w:hAnsi="Times New Roman"/>
          <w:sz w:val="30"/>
          <w:szCs w:val="30"/>
        </w:rPr>
        <w:lastRenderedPageBreak/>
        <w:t>расходах учтены бюджетные назначения на оплату труда работников здравоохранения, обеспечение лекарственными средствами и изделиями медицинского назначения, питание, оплату энергоресурсов и прочие трансферты населению. При этом, на выплату стимулирующих надбавок за работу в условиях, связанных с инфекциями, в соответствии с Указом Президента Республики Беларусь от 16 апреля 2020 г. № 131 «О материальном стимулировании работников здравоохранения» определены средства в сумме 1 133,7 тыс. рублей</w:t>
      </w:r>
      <w:r>
        <w:rPr>
          <w:rFonts w:ascii="Times New Roman" w:hAnsi="Times New Roman"/>
          <w:sz w:val="30"/>
          <w:szCs w:val="30"/>
        </w:rPr>
        <w:t>.</w:t>
      </w:r>
    </w:p>
    <w:p w:rsidR="00C44B28" w:rsidRPr="00631168" w:rsidRDefault="00C44B28" w:rsidP="00831D1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6902AD" w:rsidRPr="00631168" w:rsidRDefault="006902AD" w:rsidP="00831D16">
      <w:pPr>
        <w:spacing w:after="0" w:line="240" w:lineRule="auto"/>
        <w:ind w:firstLine="709"/>
        <w:jc w:val="center"/>
        <w:rPr>
          <w:rFonts w:ascii="Times New Roman" w:hAnsi="Times New Roman"/>
          <w:b/>
          <w:sz w:val="30"/>
          <w:szCs w:val="30"/>
          <w:u w:val="single"/>
        </w:rPr>
      </w:pPr>
      <w:r w:rsidRPr="00631168">
        <w:rPr>
          <w:rFonts w:ascii="Times New Roman" w:hAnsi="Times New Roman"/>
          <w:b/>
          <w:sz w:val="30"/>
          <w:szCs w:val="30"/>
          <w:u w:val="single"/>
        </w:rPr>
        <w:t>Образование</w:t>
      </w:r>
    </w:p>
    <w:p w:rsidR="00416559" w:rsidRPr="00631168" w:rsidRDefault="00416559" w:rsidP="00D067DB">
      <w:pPr>
        <w:spacing w:after="0" w:line="240" w:lineRule="auto"/>
        <w:ind w:firstLine="709"/>
        <w:jc w:val="center"/>
        <w:rPr>
          <w:rFonts w:ascii="Times New Roman" w:hAnsi="Times New Roman"/>
          <w:b/>
          <w:sz w:val="30"/>
          <w:szCs w:val="30"/>
          <w:u w:val="single"/>
        </w:rPr>
      </w:pPr>
    </w:p>
    <w:p w:rsidR="003E61A4" w:rsidRPr="00A9041F" w:rsidRDefault="003E61A4" w:rsidP="003E61A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9041F">
        <w:rPr>
          <w:rFonts w:ascii="Times New Roman" w:hAnsi="Times New Roman"/>
          <w:sz w:val="30"/>
          <w:szCs w:val="30"/>
        </w:rPr>
        <w:t xml:space="preserve">Исходя из минимального норматива обеспеченности на функционирование действующей сети учреждений образования и финансирование образовательных мероприятий в отрасли образования планируется направить, без учета расходов на капитальное строительство, 51 599,6 тыс. рублей, что </w:t>
      </w:r>
      <w:r w:rsidRPr="007B32AD">
        <w:rPr>
          <w:rFonts w:ascii="Times New Roman" w:hAnsi="Times New Roman"/>
          <w:sz w:val="30"/>
          <w:szCs w:val="30"/>
        </w:rPr>
        <w:t>составляет 41,7</w:t>
      </w:r>
      <w:r w:rsidRPr="00B9132C">
        <w:rPr>
          <w:rFonts w:ascii="Times New Roman" w:hAnsi="Times New Roman"/>
          <w:sz w:val="30"/>
          <w:szCs w:val="30"/>
        </w:rPr>
        <w:t xml:space="preserve"> </w:t>
      </w:r>
      <w:r w:rsidRPr="00A9041F">
        <w:rPr>
          <w:rFonts w:ascii="Times New Roman" w:hAnsi="Times New Roman"/>
          <w:sz w:val="30"/>
          <w:szCs w:val="30"/>
        </w:rPr>
        <w:t xml:space="preserve">% от </w:t>
      </w:r>
      <w:r>
        <w:rPr>
          <w:rFonts w:ascii="Times New Roman" w:hAnsi="Times New Roman"/>
          <w:sz w:val="30"/>
          <w:szCs w:val="30"/>
        </w:rPr>
        <w:t>общего объема расходов бюджета</w:t>
      </w:r>
      <w:r w:rsidRPr="00A9041F">
        <w:rPr>
          <w:rFonts w:ascii="Times New Roman" w:hAnsi="Times New Roman"/>
          <w:sz w:val="30"/>
          <w:szCs w:val="30"/>
        </w:rPr>
        <w:t xml:space="preserve">. </w:t>
      </w:r>
    </w:p>
    <w:p w:rsidR="003E61A4" w:rsidRPr="00B9132C" w:rsidRDefault="003E61A4" w:rsidP="003E61A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9132C">
        <w:rPr>
          <w:rFonts w:ascii="Times New Roman" w:hAnsi="Times New Roman"/>
          <w:sz w:val="30"/>
          <w:szCs w:val="30"/>
        </w:rPr>
        <w:t>Значительный объем средств – 41 224,5 тыс. рублей, предполагается направить на заработную плату (с начислениями) работникам учреждений образования</w:t>
      </w:r>
      <w:r>
        <w:rPr>
          <w:rFonts w:ascii="Times New Roman" w:hAnsi="Times New Roman"/>
          <w:sz w:val="30"/>
          <w:szCs w:val="30"/>
        </w:rPr>
        <w:t>.</w:t>
      </w:r>
    </w:p>
    <w:p w:rsidR="003E61A4" w:rsidRPr="00B9132C" w:rsidRDefault="003E61A4" w:rsidP="003E61A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9132C">
        <w:rPr>
          <w:rFonts w:ascii="Times New Roman" w:hAnsi="Times New Roman"/>
          <w:sz w:val="30"/>
          <w:szCs w:val="30"/>
        </w:rPr>
        <w:t>На обеспечение питанием обучающихся учреждений образования планируется</w:t>
      </w:r>
      <w:r>
        <w:rPr>
          <w:rFonts w:ascii="Times New Roman" w:hAnsi="Times New Roman"/>
          <w:sz w:val="30"/>
          <w:szCs w:val="30"/>
        </w:rPr>
        <w:t xml:space="preserve"> направить 3 476,0 тыс. рублей</w:t>
      </w:r>
      <w:r w:rsidRPr="00B9132C">
        <w:rPr>
          <w:rFonts w:ascii="Times New Roman" w:hAnsi="Times New Roman"/>
          <w:sz w:val="30"/>
          <w:szCs w:val="30"/>
        </w:rPr>
        <w:t>.</w:t>
      </w:r>
    </w:p>
    <w:p w:rsidR="003E61A4" w:rsidRPr="00A44C1A" w:rsidRDefault="003E61A4" w:rsidP="003E61A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44C1A">
        <w:rPr>
          <w:rFonts w:ascii="Times New Roman" w:hAnsi="Times New Roman"/>
          <w:sz w:val="30"/>
          <w:szCs w:val="30"/>
        </w:rPr>
        <w:t xml:space="preserve">Расходы на оплату коммунальных услуг запланированы в сумме 3 870,0 тыс. рублей. </w:t>
      </w:r>
    </w:p>
    <w:p w:rsidR="00EC23C8" w:rsidRPr="00631168" w:rsidRDefault="003E61A4" w:rsidP="00D067DB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A44C1A">
        <w:rPr>
          <w:rFonts w:ascii="Times New Roman" w:hAnsi="Times New Roman"/>
          <w:sz w:val="30"/>
          <w:szCs w:val="30"/>
        </w:rPr>
        <w:t>В 2021 году нормативное финансирование учреждений образования составит: 27 813, 9 тыс. рублей - норматив с учётом особенностей функционирования и развития учреждений общего среднего образования и - 8 292, 7 тыс. рублей - норматив с учётом особенностей функционирования и развития учреждений дошкольного образования</w:t>
      </w:r>
      <w:r>
        <w:rPr>
          <w:rFonts w:ascii="Times New Roman" w:hAnsi="Times New Roman"/>
          <w:sz w:val="30"/>
          <w:szCs w:val="30"/>
        </w:rPr>
        <w:t>.</w:t>
      </w:r>
    </w:p>
    <w:p w:rsidR="008C0B96" w:rsidRPr="00631168" w:rsidRDefault="008C0B96" w:rsidP="00D067D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6902AD" w:rsidRPr="00631168" w:rsidRDefault="006902AD" w:rsidP="00D067DB">
      <w:pPr>
        <w:spacing w:after="0" w:line="240" w:lineRule="auto"/>
        <w:ind w:firstLine="709"/>
        <w:jc w:val="center"/>
        <w:rPr>
          <w:rFonts w:ascii="Times New Roman" w:hAnsi="Times New Roman"/>
          <w:b/>
          <w:sz w:val="30"/>
          <w:szCs w:val="30"/>
          <w:u w:val="single"/>
        </w:rPr>
      </w:pPr>
      <w:r w:rsidRPr="00631168">
        <w:rPr>
          <w:rFonts w:ascii="Times New Roman" w:hAnsi="Times New Roman"/>
          <w:b/>
          <w:sz w:val="30"/>
          <w:szCs w:val="30"/>
          <w:u w:val="single"/>
        </w:rPr>
        <w:t>Культура и средства массовой информации</w:t>
      </w:r>
    </w:p>
    <w:p w:rsidR="00416559" w:rsidRPr="00631168" w:rsidRDefault="00416559" w:rsidP="00D067DB">
      <w:pPr>
        <w:spacing w:after="0" w:line="240" w:lineRule="auto"/>
        <w:ind w:firstLine="709"/>
        <w:jc w:val="center"/>
        <w:rPr>
          <w:rFonts w:ascii="Times New Roman" w:hAnsi="Times New Roman"/>
          <w:b/>
          <w:sz w:val="30"/>
          <w:szCs w:val="30"/>
          <w:u w:val="single"/>
        </w:rPr>
      </w:pPr>
    </w:p>
    <w:p w:rsidR="003E61A4" w:rsidRPr="00DE3F06" w:rsidRDefault="003E61A4" w:rsidP="003E61A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E3F06">
        <w:rPr>
          <w:rFonts w:ascii="Times New Roman" w:hAnsi="Times New Roman"/>
          <w:sz w:val="30"/>
          <w:szCs w:val="30"/>
        </w:rPr>
        <w:t>Расходы на культуру и искусство запланированы на 2021 год в сумме 3 691,4 тыс. рублей</w:t>
      </w:r>
      <w:r>
        <w:rPr>
          <w:rFonts w:ascii="Times New Roman" w:hAnsi="Times New Roman"/>
          <w:sz w:val="30"/>
          <w:szCs w:val="30"/>
        </w:rPr>
        <w:t>, что позволи</w:t>
      </w:r>
      <w:r w:rsidRPr="00DE3F06">
        <w:rPr>
          <w:rFonts w:ascii="Times New Roman" w:hAnsi="Times New Roman"/>
          <w:sz w:val="30"/>
          <w:szCs w:val="30"/>
        </w:rPr>
        <w:t>т обеспечить:</w:t>
      </w:r>
    </w:p>
    <w:p w:rsidR="003E61A4" w:rsidRPr="00DE3F06" w:rsidRDefault="003E61A4" w:rsidP="003E61A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E3F06">
        <w:rPr>
          <w:rFonts w:ascii="Times New Roman" w:hAnsi="Times New Roman"/>
          <w:sz w:val="30"/>
          <w:szCs w:val="30"/>
        </w:rPr>
        <w:t>деятельность действующей сети учреждений культуры (библиотеки, учреждения клубного типа) – 2 265,1 тыс. рублей;</w:t>
      </w:r>
    </w:p>
    <w:p w:rsidR="003E61A4" w:rsidRPr="00B10C25" w:rsidRDefault="003E61A4" w:rsidP="003E61A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E3F06">
        <w:rPr>
          <w:rFonts w:ascii="Times New Roman" w:hAnsi="Times New Roman"/>
          <w:sz w:val="30"/>
          <w:szCs w:val="30"/>
        </w:rPr>
        <w:t xml:space="preserve">ККРУП «Парк им. </w:t>
      </w:r>
      <w:proofErr w:type="spellStart"/>
      <w:r w:rsidRPr="00DE3F06">
        <w:rPr>
          <w:rFonts w:ascii="Times New Roman" w:hAnsi="Times New Roman"/>
          <w:sz w:val="30"/>
          <w:szCs w:val="30"/>
        </w:rPr>
        <w:t>А.В.Суворова</w:t>
      </w:r>
      <w:proofErr w:type="spellEnd"/>
      <w:r w:rsidRPr="00DE3F06">
        <w:rPr>
          <w:rFonts w:ascii="Times New Roman" w:hAnsi="Times New Roman"/>
          <w:sz w:val="30"/>
          <w:szCs w:val="30"/>
        </w:rPr>
        <w:t>» – 282,1 тыс.</w:t>
      </w:r>
      <w:r w:rsidRPr="00B10C25">
        <w:rPr>
          <w:rFonts w:ascii="Times New Roman" w:hAnsi="Times New Roman"/>
          <w:sz w:val="30"/>
          <w:szCs w:val="30"/>
        </w:rPr>
        <w:t xml:space="preserve"> рублей;</w:t>
      </w:r>
    </w:p>
    <w:p w:rsidR="003E61A4" w:rsidRPr="00EA25A2" w:rsidRDefault="003E61A4" w:rsidP="003E61A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A25A2">
        <w:rPr>
          <w:rFonts w:ascii="Times New Roman" w:hAnsi="Times New Roman"/>
          <w:sz w:val="30"/>
          <w:szCs w:val="30"/>
        </w:rPr>
        <w:t xml:space="preserve">УК «Кобринский военно-исторический музей им. </w:t>
      </w:r>
      <w:proofErr w:type="spellStart"/>
      <w:r w:rsidRPr="00EA25A2">
        <w:rPr>
          <w:rFonts w:ascii="Times New Roman" w:hAnsi="Times New Roman"/>
          <w:sz w:val="30"/>
          <w:szCs w:val="30"/>
        </w:rPr>
        <w:t>А.В.Суворова</w:t>
      </w:r>
      <w:proofErr w:type="spellEnd"/>
      <w:r w:rsidRPr="00EA25A2">
        <w:rPr>
          <w:rFonts w:ascii="Times New Roman" w:hAnsi="Times New Roman"/>
          <w:sz w:val="30"/>
          <w:szCs w:val="30"/>
        </w:rPr>
        <w:t xml:space="preserve">» – </w:t>
      </w:r>
      <w:r w:rsidRPr="00EA25A2">
        <w:rPr>
          <w:rFonts w:ascii="Times New Roman" w:hAnsi="Times New Roman"/>
          <w:sz w:val="30"/>
          <w:szCs w:val="30"/>
        </w:rPr>
        <w:br/>
        <w:t>385,1 тыс. рублей;</w:t>
      </w:r>
    </w:p>
    <w:p w:rsidR="003E61A4" w:rsidRPr="00EA25A2" w:rsidRDefault="003E61A4" w:rsidP="003E61A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A25A2">
        <w:rPr>
          <w:rFonts w:ascii="Times New Roman" w:hAnsi="Times New Roman"/>
          <w:bCs/>
          <w:sz w:val="30"/>
          <w:szCs w:val="30"/>
        </w:rPr>
        <w:t>УК «Кобринский Дворец культуры»</w:t>
      </w:r>
      <w:r w:rsidRPr="00EA25A2">
        <w:rPr>
          <w:rFonts w:ascii="Times New Roman" w:hAnsi="Times New Roman"/>
          <w:sz w:val="30"/>
          <w:szCs w:val="30"/>
        </w:rPr>
        <w:t xml:space="preserve"> – 599,6 тыс. рублей;</w:t>
      </w:r>
    </w:p>
    <w:p w:rsidR="003E61A4" w:rsidRPr="00DE3F06" w:rsidRDefault="003E61A4" w:rsidP="003E61A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E3F06">
        <w:rPr>
          <w:rFonts w:ascii="Times New Roman" w:hAnsi="Times New Roman"/>
          <w:sz w:val="30"/>
          <w:szCs w:val="30"/>
        </w:rPr>
        <w:t xml:space="preserve">КУКП «Кобринская районная </w:t>
      </w:r>
      <w:proofErr w:type="spellStart"/>
      <w:r w:rsidRPr="00DE3F06">
        <w:rPr>
          <w:rFonts w:ascii="Times New Roman" w:hAnsi="Times New Roman"/>
          <w:sz w:val="30"/>
          <w:szCs w:val="30"/>
        </w:rPr>
        <w:t>киновидеосеть</w:t>
      </w:r>
      <w:proofErr w:type="spellEnd"/>
      <w:r w:rsidRPr="00DE3F06">
        <w:rPr>
          <w:rFonts w:ascii="Times New Roman" w:hAnsi="Times New Roman"/>
          <w:sz w:val="30"/>
          <w:szCs w:val="30"/>
        </w:rPr>
        <w:t>» – 159,5 тыс. рублей.</w:t>
      </w:r>
    </w:p>
    <w:p w:rsidR="003E61A4" w:rsidRPr="005430D2" w:rsidRDefault="003E61A4" w:rsidP="003E61A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430D2">
        <w:rPr>
          <w:rFonts w:ascii="Times New Roman" w:hAnsi="Times New Roman"/>
          <w:sz w:val="30"/>
          <w:szCs w:val="30"/>
        </w:rPr>
        <w:lastRenderedPageBreak/>
        <w:t xml:space="preserve">Расходы отрасли будут направлены в первую очередь на оплату труда работников учреждений культуры (с отчислениями на социальное страхование) и оплату коммунальных расходов, на которые предусмотрено 2 842,5 тыс. рублей, или 77,0 % всех расходов. </w:t>
      </w:r>
    </w:p>
    <w:p w:rsidR="003E61A4" w:rsidRDefault="003E61A4" w:rsidP="003E61A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75B84">
        <w:rPr>
          <w:rFonts w:ascii="Times New Roman" w:hAnsi="Times New Roman"/>
          <w:sz w:val="30"/>
          <w:szCs w:val="30"/>
        </w:rPr>
        <w:t>На другие статьи расходов планируется направить 848,9 тыс. рублей, из них на приобретение оборудования и других основных средств – 76,9 тыс. рублей, оплату текущего ремонта зданий, помещений, оборудования и инвентаря – 152,0 тыс. рублей</w:t>
      </w:r>
      <w:r>
        <w:rPr>
          <w:rFonts w:ascii="Times New Roman" w:hAnsi="Times New Roman"/>
          <w:sz w:val="30"/>
          <w:szCs w:val="30"/>
        </w:rPr>
        <w:t>.</w:t>
      </w:r>
    </w:p>
    <w:p w:rsidR="00EC23C8" w:rsidRDefault="00EC23C8" w:rsidP="00D067DB">
      <w:pPr>
        <w:spacing w:after="0" w:line="240" w:lineRule="auto"/>
        <w:ind w:firstLine="709"/>
        <w:jc w:val="center"/>
        <w:rPr>
          <w:rFonts w:ascii="Times New Roman" w:hAnsi="Times New Roman"/>
          <w:b/>
          <w:sz w:val="30"/>
          <w:szCs w:val="30"/>
          <w:u w:val="single"/>
        </w:rPr>
      </w:pPr>
    </w:p>
    <w:p w:rsidR="006902AD" w:rsidRPr="00631168" w:rsidRDefault="006902AD" w:rsidP="00D067DB">
      <w:pPr>
        <w:spacing w:after="0" w:line="240" w:lineRule="auto"/>
        <w:ind w:firstLine="709"/>
        <w:jc w:val="center"/>
        <w:rPr>
          <w:rFonts w:ascii="Times New Roman" w:hAnsi="Times New Roman"/>
          <w:b/>
          <w:sz w:val="30"/>
          <w:szCs w:val="30"/>
          <w:u w:val="single"/>
        </w:rPr>
      </w:pPr>
      <w:r w:rsidRPr="00631168">
        <w:rPr>
          <w:rFonts w:ascii="Times New Roman" w:hAnsi="Times New Roman"/>
          <w:b/>
          <w:sz w:val="30"/>
          <w:szCs w:val="30"/>
          <w:u w:val="single"/>
        </w:rPr>
        <w:t>Физическая культура и спорт</w:t>
      </w:r>
    </w:p>
    <w:p w:rsidR="00416559" w:rsidRPr="00631168" w:rsidRDefault="00416559" w:rsidP="00D067DB">
      <w:pPr>
        <w:spacing w:after="0" w:line="240" w:lineRule="auto"/>
        <w:ind w:firstLine="709"/>
        <w:jc w:val="center"/>
        <w:rPr>
          <w:rFonts w:ascii="Times New Roman" w:hAnsi="Times New Roman"/>
          <w:b/>
          <w:sz w:val="30"/>
          <w:szCs w:val="30"/>
          <w:u w:val="single"/>
        </w:rPr>
      </w:pPr>
    </w:p>
    <w:p w:rsidR="00A45221" w:rsidRPr="003D0B75" w:rsidRDefault="00A45221" w:rsidP="00A4522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lang w:eastAsia="x-none"/>
        </w:rPr>
      </w:pPr>
      <w:r w:rsidRPr="003D0B75">
        <w:rPr>
          <w:rFonts w:ascii="Times New Roman" w:hAnsi="Times New Roman"/>
          <w:sz w:val="30"/>
          <w:szCs w:val="30"/>
          <w:lang w:val="x-none" w:eastAsia="x-none"/>
        </w:rPr>
        <w:t>На развитие физической культуры и</w:t>
      </w:r>
      <w:r w:rsidRPr="003D0B75">
        <w:rPr>
          <w:rFonts w:ascii="Times New Roman" w:hAnsi="Times New Roman"/>
          <w:color w:val="000000"/>
          <w:sz w:val="30"/>
          <w:szCs w:val="30"/>
          <w:lang w:val="x-none" w:eastAsia="x-none"/>
        </w:rPr>
        <w:t xml:space="preserve"> спорта района планируются ассигнования в сумме </w:t>
      </w:r>
      <w:r w:rsidRPr="003D0B75">
        <w:rPr>
          <w:rFonts w:ascii="Times New Roman" w:hAnsi="Times New Roman"/>
          <w:color w:val="000000"/>
          <w:sz w:val="30"/>
          <w:szCs w:val="30"/>
          <w:lang w:eastAsia="x-none"/>
        </w:rPr>
        <w:t>2 783,5</w:t>
      </w:r>
      <w:r>
        <w:rPr>
          <w:rFonts w:ascii="Times New Roman" w:hAnsi="Times New Roman"/>
          <w:color w:val="000000"/>
          <w:sz w:val="30"/>
          <w:szCs w:val="30"/>
          <w:lang w:val="x-none" w:eastAsia="x-none"/>
        </w:rPr>
        <w:t xml:space="preserve"> тыс. рублей.</w:t>
      </w:r>
      <w:r w:rsidRPr="003D0B75">
        <w:rPr>
          <w:rFonts w:ascii="Times New Roman" w:hAnsi="Times New Roman"/>
          <w:color w:val="000000"/>
          <w:sz w:val="30"/>
          <w:szCs w:val="30"/>
          <w:lang w:val="x-none" w:eastAsia="x-none"/>
        </w:rPr>
        <w:t xml:space="preserve"> На первоочередные расходы (заработная плата, отчисления на социальное страхование, продукты питания, коммунальные услуги) планируется направить </w:t>
      </w:r>
      <w:r>
        <w:rPr>
          <w:rFonts w:ascii="Times New Roman" w:hAnsi="Times New Roman"/>
          <w:color w:val="000000"/>
          <w:sz w:val="30"/>
          <w:szCs w:val="30"/>
          <w:lang w:val="x-none" w:eastAsia="x-none"/>
        </w:rPr>
        <w:br/>
      </w:r>
      <w:r w:rsidRPr="003D0B75">
        <w:rPr>
          <w:rFonts w:ascii="Times New Roman" w:hAnsi="Times New Roman"/>
          <w:color w:val="000000"/>
          <w:sz w:val="30"/>
          <w:szCs w:val="30"/>
          <w:lang w:eastAsia="x-none"/>
        </w:rPr>
        <w:t>2 600,4</w:t>
      </w:r>
      <w:r w:rsidRPr="003D0B75">
        <w:rPr>
          <w:rFonts w:ascii="Times New Roman" w:hAnsi="Times New Roman"/>
          <w:color w:val="000000"/>
          <w:sz w:val="30"/>
          <w:szCs w:val="30"/>
          <w:lang w:val="x-none" w:eastAsia="x-none"/>
        </w:rPr>
        <w:t xml:space="preserve"> тыс. рублей, удельный вес которых в общих расходах составляет </w:t>
      </w:r>
      <w:r w:rsidRPr="003D0B75">
        <w:rPr>
          <w:rFonts w:ascii="Times New Roman" w:hAnsi="Times New Roman"/>
          <w:color w:val="000000"/>
          <w:sz w:val="30"/>
          <w:szCs w:val="30"/>
          <w:lang w:eastAsia="x-none"/>
        </w:rPr>
        <w:t>93,4</w:t>
      </w:r>
      <w:r w:rsidRPr="003D0B75">
        <w:rPr>
          <w:rFonts w:ascii="Times New Roman" w:hAnsi="Times New Roman"/>
          <w:color w:val="000000"/>
          <w:sz w:val="30"/>
          <w:szCs w:val="30"/>
          <w:lang w:val="x-none" w:eastAsia="x-none"/>
        </w:rPr>
        <w:t>%,</w:t>
      </w:r>
      <w:r w:rsidRPr="003D0B75">
        <w:rPr>
          <w:rFonts w:ascii="Times New Roman" w:hAnsi="Times New Roman"/>
          <w:color w:val="000000"/>
          <w:sz w:val="30"/>
          <w:szCs w:val="30"/>
          <w:lang w:eastAsia="x-none"/>
        </w:rPr>
        <w:t xml:space="preserve"> </w:t>
      </w:r>
      <w:r w:rsidRPr="003D0B75">
        <w:rPr>
          <w:rFonts w:ascii="Times New Roman" w:hAnsi="Times New Roman"/>
          <w:color w:val="000000"/>
          <w:sz w:val="30"/>
          <w:szCs w:val="30"/>
          <w:lang w:val="x-none" w:eastAsia="x-none"/>
        </w:rPr>
        <w:t xml:space="preserve"> </w:t>
      </w:r>
      <w:r w:rsidRPr="003D0B75">
        <w:rPr>
          <w:rFonts w:ascii="Times New Roman" w:hAnsi="Times New Roman"/>
          <w:color w:val="000000"/>
          <w:sz w:val="30"/>
          <w:szCs w:val="30"/>
          <w:lang w:eastAsia="x-none"/>
        </w:rPr>
        <w:t>в том числе на заработную плату (с взносами на социальное страхование) и оплату коммунальных услуг, соответственно, 68,5% и 23,4%.</w:t>
      </w:r>
    </w:p>
    <w:p w:rsidR="00EC23C8" w:rsidRPr="00631168" w:rsidRDefault="00EC23C8" w:rsidP="00D067DB">
      <w:pPr>
        <w:spacing w:after="0" w:line="240" w:lineRule="auto"/>
        <w:ind w:firstLine="709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631168">
        <w:rPr>
          <w:rFonts w:ascii="Times New Roman" w:eastAsia="Times New Roman" w:hAnsi="Times New Roman"/>
          <w:bCs/>
          <w:sz w:val="30"/>
          <w:szCs w:val="30"/>
          <w:lang w:eastAsia="ru-RU"/>
        </w:rPr>
        <w:t>Данные расходы позволяют обеспечить:</w:t>
      </w:r>
    </w:p>
    <w:p w:rsidR="00EC23C8" w:rsidRPr="00631168" w:rsidRDefault="00EC23C8" w:rsidP="00D067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3116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– </w:t>
      </w:r>
      <w:r w:rsidRPr="00631168">
        <w:rPr>
          <w:rFonts w:ascii="Times New Roman" w:hAnsi="Times New Roman"/>
          <w:sz w:val="30"/>
          <w:szCs w:val="30"/>
        </w:rPr>
        <w:t xml:space="preserve">проведение </w:t>
      </w:r>
      <w:r w:rsidR="008617C1" w:rsidRPr="00631168">
        <w:rPr>
          <w:rFonts w:ascii="Times New Roman" w:hAnsi="Times New Roman"/>
          <w:sz w:val="30"/>
          <w:szCs w:val="30"/>
        </w:rPr>
        <w:t>районных</w:t>
      </w:r>
      <w:r w:rsidRPr="00631168">
        <w:rPr>
          <w:rFonts w:ascii="Times New Roman" w:hAnsi="Times New Roman"/>
          <w:sz w:val="30"/>
          <w:szCs w:val="30"/>
        </w:rPr>
        <w:t xml:space="preserve"> спортивных, спортивно-массовых мероприятий, физкультурно-оздоровительной и спортивно-массовой работы с населением, подготовку к </w:t>
      </w:r>
      <w:r w:rsidR="008617C1" w:rsidRPr="00631168">
        <w:rPr>
          <w:rFonts w:ascii="Times New Roman" w:hAnsi="Times New Roman"/>
          <w:sz w:val="30"/>
          <w:szCs w:val="30"/>
        </w:rPr>
        <w:t xml:space="preserve">областным, </w:t>
      </w:r>
      <w:r w:rsidRPr="00631168">
        <w:rPr>
          <w:rFonts w:ascii="Times New Roman" w:hAnsi="Times New Roman"/>
          <w:sz w:val="30"/>
          <w:szCs w:val="30"/>
        </w:rPr>
        <w:t>республиканским и международным спортивным, спортивно-массовым мероприятиям и участие в них;</w:t>
      </w:r>
    </w:p>
    <w:p w:rsidR="008C0B96" w:rsidRDefault="00EC23C8" w:rsidP="008C0B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63116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– функционирование специализированных учебно-спортивных учреждений и </w:t>
      </w:r>
      <w:r w:rsidRPr="00631168">
        <w:rPr>
          <w:rFonts w:ascii="Times New Roman" w:hAnsi="Times New Roman"/>
          <w:sz w:val="30"/>
          <w:szCs w:val="30"/>
        </w:rPr>
        <w:t>других государственных организаций физической культуры и спорта</w:t>
      </w:r>
      <w:r w:rsidR="008C0B96">
        <w:rPr>
          <w:rFonts w:ascii="Times New Roman" w:eastAsia="Times New Roman" w:hAnsi="Times New Roman"/>
          <w:bCs/>
          <w:sz w:val="30"/>
          <w:szCs w:val="30"/>
          <w:lang w:eastAsia="ru-RU"/>
        </w:rPr>
        <w:t>.</w:t>
      </w:r>
    </w:p>
    <w:p w:rsidR="000D1933" w:rsidRDefault="000D1933" w:rsidP="000D1933">
      <w:pPr>
        <w:spacing w:after="0" w:line="240" w:lineRule="auto"/>
        <w:ind w:firstLine="709"/>
        <w:jc w:val="center"/>
        <w:rPr>
          <w:rFonts w:ascii="Times New Roman" w:hAnsi="Times New Roman"/>
          <w:b/>
          <w:sz w:val="30"/>
          <w:szCs w:val="30"/>
        </w:rPr>
      </w:pPr>
    </w:p>
    <w:p w:rsidR="000D1933" w:rsidRPr="00C97036" w:rsidRDefault="000D1933" w:rsidP="000D1933">
      <w:pPr>
        <w:spacing w:after="0" w:line="240" w:lineRule="auto"/>
        <w:ind w:firstLine="709"/>
        <w:jc w:val="center"/>
        <w:rPr>
          <w:rFonts w:ascii="Times New Roman" w:hAnsi="Times New Roman"/>
          <w:b/>
          <w:sz w:val="30"/>
          <w:szCs w:val="30"/>
        </w:rPr>
      </w:pPr>
      <w:r w:rsidRPr="00C97036">
        <w:rPr>
          <w:rFonts w:ascii="Times New Roman" w:hAnsi="Times New Roman"/>
          <w:b/>
          <w:sz w:val="30"/>
          <w:szCs w:val="30"/>
        </w:rPr>
        <w:t>РАЙОННЫЙ БЮДЖЕТ</w:t>
      </w:r>
    </w:p>
    <w:p w:rsidR="000D1933" w:rsidRPr="00C97036" w:rsidRDefault="000D1933" w:rsidP="000D1933">
      <w:pPr>
        <w:spacing w:after="0" w:line="240" w:lineRule="auto"/>
        <w:ind w:firstLine="709"/>
        <w:jc w:val="center"/>
        <w:rPr>
          <w:rFonts w:ascii="Times New Roman" w:hAnsi="Times New Roman"/>
          <w:b/>
          <w:sz w:val="30"/>
          <w:szCs w:val="30"/>
        </w:rPr>
      </w:pPr>
    </w:p>
    <w:p w:rsidR="000D1933" w:rsidRPr="00C97036" w:rsidRDefault="000D1933" w:rsidP="000D1933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C97036">
        <w:rPr>
          <w:rFonts w:ascii="Times New Roman" w:hAnsi="Times New Roman"/>
          <w:sz w:val="30"/>
          <w:szCs w:val="30"/>
        </w:rPr>
        <w:t>Районный бюджет на 2021 год определен по доходам и расходам в сумме 123 862,5 тыс. рублей.</w:t>
      </w:r>
    </w:p>
    <w:p w:rsidR="000D1933" w:rsidRPr="00045D18" w:rsidRDefault="000D1933" w:rsidP="000D193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97036">
        <w:rPr>
          <w:rFonts w:ascii="Times New Roman" w:hAnsi="Times New Roman"/>
          <w:sz w:val="30"/>
          <w:szCs w:val="30"/>
        </w:rPr>
        <w:t xml:space="preserve">В доходы бюджета включены в полном объеме средства, поступающие из вышестоящего бюджета – дотация в сумме </w:t>
      </w:r>
      <w:r w:rsidRPr="00C97036">
        <w:rPr>
          <w:rFonts w:ascii="Times New Roman" w:hAnsi="Times New Roman"/>
          <w:sz w:val="30"/>
          <w:szCs w:val="30"/>
        </w:rPr>
        <w:br/>
        <w:t xml:space="preserve">41 345,0 тыс. рублей, субвенции на финансирование расходов по развитию сельского хозяйства и рыбохозяйственной деятельности в сумме </w:t>
      </w:r>
      <w:r w:rsidRPr="00045D18">
        <w:rPr>
          <w:rFonts w:ascii="Times New Roman" w:hAnsi="Times New Roman"/>
          <w:sz w:val="30"/>
          <w:szCs w:val="30"/>
        </w:rPr>
        <w:t xml:space="preserve">722,8 тыс. рублей. Собственные доходы составляют </w:t>
      </w:r>
      <w:r w:rsidRPr="00045D18">
        <w:rPr>
          <w:rFonts w:ascii="Times New Roman" w:hAnsi="Times New Roman"/>
          <w:sz w:val="30"/>
          <w:szCs w:val="30"/>
        </w:rPr>
        <w:br/>
        <w:t>81 794,7 тыс. рублей.</w:t>
      </w:r>
    </w:p>
    <w:p w:rsidR="000D1933" w:rsidRPr="00C97036" w:rsidRDefault="000D1933" w:rsidP="000D193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97036">
        <w:rPr>
          <w:rFonts w:ascii="Times New Roman" w:hAnsi="Times New Roman"/>
          <w:sz w:val="30"/>
          <w:szCs w:val="30"/>
        </w:rPr>
        <w:t xml:space="preserve">Удельный вес расходов районного бюджета в общем объеме бюджета района составит 98,7%. </w:t>
      </w:r>
    </w:p>
    <w:p w:rsidR="000D1933" w:rsidRPr="008C0B96" w:rsidRDefault="000D1933" w:rsidP="008C0B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</w:p>
    <w:p w:rsidR="008C0B96" w:rsidRPr="00631168" w:rsidRDefault="008C0B96" w:rsidP="00D067DB">
      <w:pPr>
        <w:spacing w:after="0" w:line="240" w:lineRule="auto"/>
        <w:ind w:firstLine="709"/>
        <w:jc w:val="center"/>
        <w:rPr>
          <w:rFonts w:ascii="Times New Roman" w:hAnsi="Times New Roman"/>
          <w:b/>
          <w:sz w:val="30"/>
          <w:szCs w:val="30"/>
        </w:rPr>
      </w:pPr>
    </w:p>
    <w:p w:rsidR="006902AD" w:rsidRPr="008C0B96" w:rsidRDefault="001723B1" w:rsidP="00D067DB">
      <w:pPr>
        <w:spacing w:after="0" w:line="240" w:lineRule="auto"/>
        <w:ind w:firstLine="709"/>
        <w:jc w:val="center"/>
        <w:rPr>
          <w:rFonts w:ascii="Times New Roman" w:hAnsi="Times New Roman"/>
          <w:b/>
          <w:sz w:val="30"/>
          <w:szCs w:val="30"/>
        </w:rPr>
      </w:pPr>
      <w:r w:rsidRPr="008C0B96">
        <w:rPr>
          <w:rFonts w:ascii="Times New Roman" w:hAnsi="Times New Roman"/>
          <w:b/>
          <w:sz w:val="30"/>
          <w:szCs w:val="30"/>
        </w:rPr>
        <w:lastRenderedPageBreak/>
        <w:t>СЕЛЬСКИЕ БЮДЖЕТЫ</w:t>
      </w:r>
    </w:p>
    <w:p w:rsidR="006902AD" w:rsidRPr="00631168" w:rsidRDefault="006902AD" w:rsidP="00D067DB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  <w:u w:val="single"/>
        </w:rPr>
      </w:pPr>
    </w:p>
    <w:p w:rsidR="008C0B96" w:rsidRPr="00C97036" w:rsidRDefault="008C0B96" w:rsidP="008C0B9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97036">
        <w:rPr>
          <w:rFonts w:ascii="Times New Roman" w:hAnsi="Times New Roman"/>
          <w:sz w:val="30"/>
          <w:szCs w:val="30"/>
        </w:rPr>
        <w:t>Сельские бюджеты определены по доходам и расходам в сумме 1 574,1 тыс. рублей</w:t>
      </w:r>
      <w:r>
        <w:rPr>
          <w:rFonts w:ascii="Times New Roman" w:hAnsi="Times New Roman"/>
          <w:sz w:val="30"/>
          <w:szCs w:val="30"/>
        </w:rPr>
        <w:t>.</w:t>
      </w:r>
      <w:r w:rsidRPr="00C97036">
        <w:rPr>
          <w:rFonts w:ascii="Times New Roman" w:hAnsi="Times New Roman"/>
          <w:sz w:val="30"/>
          <w:szCs w:val="30"/>
        </w:rPr>
        <w:t xml:space="preserve"> Удельный вес сельских бюджетов в общем объеме бюджета района составит 1,3%. </w:t>
      </w:r>
    </w:p>
    <w:p w:rsidR="008C0B96" w:rsidRPr="00DA3093" w:rsidRDefault="008C0B96" w:rsidP="008C0B9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A3093">
        <w:rPr>
          <w:rFonts w:ascii="Times New Roman" w:hAnsi="Times New Roman"/>
          <w:sz w:val="30"/>
          <w:szCs w:val="30"/>
        </w:rPr>
        <w:t xml:space="preserve">Из 11 сельских бюджетов 10 являются дотационными. </w:t>
      </w:r>
    </w:p>
    <w:p w:rsidR="008C0B96" w:rsidRPr="00C97036" w:rsidRDefault="008C0B96" w:rsidP="008C0B9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97036">
        <w:rPr>
          <w:rFonts w:ascii="Times New Roman" w:hAnsi="Times New Roman"/>
          <w:sz w:val="30"/>
          <w:szCs w:val="30"/>
        </w:rPr>
        <w:t>Доходная часть на 2021 год сформирована за счет поступлений земельного налога, налога на недвижимость, госпошлины с физических лиц, отчислений от подоходного налога, неналоговых доходов.</w:t>
      </w:r>
    </w:p>
    <w:p w:rsidR="008C0B96" w:rsidRPr="00C97036" w:rsidRDefault="008C0B96" w:rsidP="008C0B9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97036">
        <w:rPr>
          <w:rFonts w:ascii="Times New Roman" w:hAnsi="Times New Roman"/>
          <w:sz w:val="30"/>
          <w:szCs w:val="30"/>
        </w:rPr>
        <w:t>В расходной части сельских бюджетов предусмотрены ассигнования на благоустройство, содержание органов местного управления</w:t>
      </w:r>
      <w:r>
        <w:rPr>
          <w:rFonts w:ascii="Times New Roman" w:hAnsi="Times New Roman"/>
          <w:sz w:val="30"/>
          <w:szCs w:val="30"/>
        </w:rPr>
        <w:t xml:space="preserve"> и самоуправления</w:t>
      </w:r>
      <w:r w:rsidRPr="00C97036">
        <w:rPr>
          <w:rFonts w:ascii="Times New Roman" w:hAnsi="Times New Roman"/>
          <w:sz w:val="30"/>
          <w:szCs w:val="30"/>
        </w:rPr>
        <w:t xml:space="preserve">, расходы на формирование и отвод земельных участков, мероприятия исполкомов и выплата поощрений старостам, снос ветхого жилья. </w:t>
      </w:r>
    </w:p>
    <w:p w:rsidR="008C0B96" w:rsidRDefault="008C0B96" w:rsidP="008C0B96">
      <w:pPr>
        <w:spacing w:after="0" w:line="240" w:lineRule="auto"/>
        <w:ind w:firstLine="709"/>
        <w:jc w:val="center"/>
        <w:rPr>
          <w:rFonts w:ascii="Times New Roman" w:hAnsi="Times New Roman"/>
          <w:sz w:val="30"/>
          <w:szCs w:val="30"/>
        </w:rPr>
      </w:pPr>
    </w:p>
    <w:p w:rsidR="008C0B96" w:rsidRPr="00051C19" w:rsidRDefault="008C0B96" w:rsidP="008C0B96">
      <w:pPr>
        <w:spacing w:after="0" w:line="240" w:lineRule="auto"/>
        <w:ind w:firstLine="709"/>
        <w:jc w:val="center"/>
        <w:rPr>
          <w:rFonts w:ascii="Times New Roman" w:hAnsi="Times New Roman"/>
          <w:sz w:val="30"/>
          <w:szCs w:val="30"/>
        </w:rPr>
      </w:pPr>
      <w:r w:rsidRPr="00051C19">
        <w:rPr>
          <w:rFonts w:ascii="Times New Roman" w:hAnsi="Times New Roman"/>
          <w:sz w:val="30"/>
          <w:szCs w:val="30"/>
        </w:rPr>
        <w:t>Расчетные объемы сельских бюджетов по доходам и расходам.</w:t>
      </w:r>
    </w:p>
    <w:p w:rsidR="008C0B96" w:rsidRPr="00051C19" w:rsidRDefault="008C0B96" w:rsidP="008C0B96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051C19">
        <w:rPr>
          <w:rFonts w:ascii="Times New Roman" w:hAnsi="Times New Roman"/>
          <w:sz w:val="20"/>
          <w:szCs w:val="20"/>
        </w:rPr>
        <w:t>(руб.)</w:t>
      </w:r>
    </w:p>
    <w:tbl>
      <w:tblPr>
        <w:tblW w:w="97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77"/>
        <w:gridCol w:w="1521"/>
        <w:gridCol w:w="1418"/>
        <w:gridCol w:w="986"/>
        <w:gridCol w:w="1281"/>
        <w:gridCol w:w="852"/>
        <w:gridCol w:w="1425"/>
      </w:tblGrid>
      <w:tr w:rsidR="008C0B96" w:rsidRPr="00644D9F" w:rsidTr="008C0B96">
        <w:trPr>
          <w:trHeight w:val="375"/>
        </w:trPr>
        <w:tc>
          <w:tcPr>
            <w:tcW w:w="2277" w:type="dxa"/>
            <w:vMerge w:val="restart"/>
            <w:noWrap/>
            <w:vAlign w:val="center"/>
          </w:tcPr>
          <w:p w:rsidR="008C0B96" w:rsidRPr="00644D9F" w:rsidRDefault="008C0B96" w:rsidP="0046440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</w:rPr>
            </w:pPr>
            <w:r w:rsidRPr="00644D9F">
              <w:rPr>
                <w:rFonts w:ascii="Times New Roman CYR" w:hAnsi="Times New Roman CYR" w:cs="Times New Roman CYR"/>
                <w:sz w:val="26"/>
              </w:rPr>
              <w:t>Наименование сельских Советов депутатов</w:t>
            </w:r>
          </w:p>
        </w:tc>
        <w:tc>
          <w:tcPr>
            <w:tcW w:w="1521" w:type="dxa"/>
            <w:vMerge w:val="restart"/>
            <w:noWrap/>
            <w:vAlign w:val="center"/>
          </w:tcPr>
          <w:p w:rsidR="008C0B96" w:rsidRPr="00644D9F" w:rsidRDefault="008C0B96" w:rsidP="0046440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</w:rPr>
            </w:pPr>
          </w:p>
          <w:p w:rsidR="008C0B96" w:rsidRPr="00644D9F" w:rsidRDefault="008C0B96" w:rsidP="0046440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</w:rPr>
            </w:pPr>
            <w:r w:rsidRPr="00644D9F">
              <w:rPr>
                <w:rFonts w:ascii="Times New Roman CYR" w:hAnsi="Times New Roman CYR" w:cs="Times New Roman CYR"/>
                <w:sz w:val="26"/>
              </w:rPr>
              <w:t>Доходы</w:t>
            </w:r>
          </w:p>
        </w:tc>
        <w:tc>
          <w:tcPr>
            <w:tcW w:w="4537" w:type="dxa"/>
            <w:gridSpan w:val="4"/>
            <w:noWrap/>
            <w:vAlign w:val="bottom"/>
          </w:tcPr>
          <w:p w:rsidR="008C0B96" w:rsidRPr="00644D9F" w:rsidRDefault="008C0B96" w:rsidP="0046440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</w:rPr>
            </w:pPr>
            <w:r w:rsidRPr="00644D9F">
              <w:rPr>
                <w:rFonts w:ascii="Times New Roman CYR" w:hAnsi="Times New Roman CYR" w:cs="Times New Roman CYR"/>
                <w:sz w:val="26"/>
              </w:rPr>
              <w:t>В том числе: </w:t>
            </w:r>
          </w:p>
        </w:tc>
        <w:tc>
          <w:tcPr>
            <w:tcW w:w="1425" w:type="dxa"/>
            <w:vMerge w:val="restart"/>
            <w:noWrap/>
            <w:vAlign w:val="center"/>
          </w:tcPr>
          <w:p w:rsidR="008C0B96" w:rsidRPr="00644D9F" w:rsidRDefault="008C0B96" w:rsidP="00464404">
            <w:pPr>
              <w:spacing w:after="0" w:line="240" w:lineRule="auto"/>
              <w:ind w:right="-105"/>
              <w:jc w:val="center"/>
              <w:rPr>
                <w:rFonts w:ascii="Times New Roman CYR" w:hAnsi="Times New Roman CYR" w:cs="Times New Roman CYR"/>
                <w:sz w:val="26"/>
              </w:rPr>
            </w:pPr>
          </w:p>
          <w:p w:rsidR="008C0B96" w:rsidRPr="00644D9F" w:rsidRDefault="008C0B96" w:rsidP="00464404">
            <w:pPr>
              <w:spacing w:after="0" w:line="240" w:lineRule="auto"/>
              <w:ind w:right="-105"/>
              <w:jc w:val="center"/>
              <w:rPr>
                <w:rFonts w:ascii="Times New Roman CYR" w:hAnsi="Times New Roman CYR" w:cs="Times New Roman CYR"/>
                <w:sz w:val="26"/>
              </w:rPr>
            </w:pPr>
            <w:r w:rsidRPr="00644D9F">
              <w:rPr>
                <w:rFonts w:ascii="Times New Roman CYR" w:hAnsi="Times New Roman CYR" w:cs="Times New Roman CYR"/>
                <w:sz w:val="26"/>
              </w:rPr>
              <w:t>Расходы</w:t>
            </w:r>
          </w:p>
        </w:tc>
      </w:tr>
      <w:tr w:rsidR="008C0B96" w:rsidRPr="00644D9F" w:rsidTr="008C0B96">
        <w:trPr>
          <w:trHeight w:val="1116"/>
        </w:trPr>
        <w:tc>
          <w:tcPr>
            <w:tcW w:w="2277" w:type="dxa"/>
            <w:vMerge/>
            <w:vAlign w:val="center"/>
          </w:tcPr>
          <w:p w:rsidR="008C0B96" w:rsidRPr="00644D9F" w:rsidRDefault="008C0B96" w:rsidP="00464404">
            <w:pPr>
              <w:spacing w:after="0" w:line="240" w:lineRule="auto"/>
              <w:rPr>
                <w:rFonts w:ascii="Times New Roman CYR" w:hAnsi="Times New Roman CYR" w:cs="Times New Roman CYR"/>
                <w:sz w:val="26"/>
              </w:rPr>
            </w:pPr>
          </w:p>
        </w:tc>
        <w:tc>
          <w:tcPr>
            <w:tcW w:w="1521" w:type="dxa"/>
            <w:vMerge/>
            <w:vAlign w:val="center"/>
          </w:tcPr>
          <w:p w:rsidR="008C0B96" w:rsidRPr="00644D9F" w:rsidRDefault="008C0B96" w:rsidP="00464404">
            <w:pPr>
              <w:spacing w:after="0" w:line="240" w:lineRule="auto"/>
              <w:rPr>
                <w:rFonts w:ascii="Times New Roman CYR" w:hAnsi="Times New Roman CYR" w:cs="Times New Roman CYR"/>
                <w:sz w:val="26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8C0B96" w:rsidRPr="00644D9F" w:rsidRDefault="008C0B96" w:rsidP="0046440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</w:rPr>
            </w:pPr>
            <w:r w:rsidRPr="00644D9F">
              <w:rPr>
                <w:rFonts w:ascii="Times New Roman CYR" w:hAnsi="Times New Roman CYR" w:cs="Times New Roman CYR"/>
                <w:sz w:val="26"/>
              </w:rPr>
              <w:t>обеспеченность бюджета собственными доходами</w:t>
            </w:r>
          </w:p>
        </w:tc>
        <w:tc>
          <w:tcPr>
            <w:tcW w:w="2133" w:type="dxa"/>
            <w:gridSpan w:val="2"/>
            <w:vAlign w:val="center"/>
          </w:tcPr>
          <w:p w:rsidR="008C0B96" w:rsidRPr="00644D9F" w:rsidRDefault="008C0B96" w:rsidP="00464404">
            <w:pPr>
              <w:spacing w:after="0" w:line="240" w:lineRule="auto"/>
              <w:ind w:left="-98" w:right="-105"/>
              <w:jc w:val="center"/>
              <w:rPr>
                <w:rFonts w:ascii="Times New Roman CYR" w:hAnsi="Times New Roman CYR" w:cs="Times New Roman CYR"/>
                <w:sz w:val="26"/>
              </w:rPr>
            </w:pPr>
            <w:r w:rsidRPr="00644D9F">
              <w:rPr>
                <w:rFonts w:ascii="Times New Roman CYR" w:hAnsi="Times New Roman CYR" w:cs="Times New Roman CYR"/>
                <w:sz w:val="26"/>
              </w:rPr>
              <w:t>средства из районного бюджета (дотация, субвенции)</w:t>
            </w:r>
          </w:p>
        </w:tc>
        <w:tc>
          <w:tcPr>
            <w:tcW w:w="1425" w:type="dxa"/>
            <w:vMerge/>
            <w:vAlign w:val="center"/>
          </w:tcPr>
          <w:p w:rsidR="008C0B96" w:rsidRPr="00644D9F" w:rsidRDefault="008C0B96" w:rsidP="00464404">
            <w:pPr>
              <w:spacing w:after="0" w:line="240" w:lineRule="auto"/>
              <w:rPr>
                <w:rFonts w:ascii="Times New Roman CYR" w:hAnsi="Times New Roman CYR" w:cs="Times New Roman CYR"/>
                <w:sz w:val="26"/>
              </w:rPr>
            </w:pPr>
          </w:p>
        </w:tc>
      </w:tr>
      <w:tr w:rsidR="008C0B96" w:rsidRPr="00644D9F" w:rsidTr="008C0B96">
        <w:trPr>
          <w:trHeight w:val="525"/>
        </w:trPr>
        <w:tc>
          <w:tcPr>
            <w:tcW w:w="2277" w:type="dxa"/>
            <w:vMerge/>
            <w:vAlign w:val="center"/>
          </w:tcPr>
          <w:p w:rsidR="008C0B96" w:rsidRPr="00644D9F" w:rsidRDefault="008C0B96" w:rsidP="00464404">
            <w:pPr>
              <w:spacing w:after="0" w:line="240" w:lineRule="auto"/>
              <w:rPr>
                <w:rFonts w:ascii="Times New Roman CYR" w:hAnsi="Times New Roman CYR" w:cs="Times New Roman CYR"/>
                <w:sz w:val="26"/>
              </w:rPr>
            </w:pPr>
          </w:p>
        </w:tc>
        <w:tc>
          <w:tcPr>
            <w:tcW w:w="1521" w:type="dxa"/>
            <w:vMerge/>
            <w:vAlign w:val="center"/>
          </w:tcPr>
          <w:p w:rsidR="008C0B96" w:rsidRPr="00644D9F" w:rsidRDefault="008C0B96" w:rsidP="00464404">
            <w:pPr>
              <w:spacing w:after="0" w:line="240" w:lineRule="auto"/>
              <w:rPr>
                <w:rFonts w:ascii="Times New Roman CYR" w:hAnsi="Times New Roman CYR" w:cs="Times New Roman CYR"/>
                <w:sz w:val="26"/>
              </w:rPr>
            </w:pPr>
          </w:p>
        </w:tc>
        <w:tc>
          <w:tcPr>
            <w:tcW w:w="1418" w:type="dxa"/>
            <w:vAlign w:val="center"/>
          </w:tcPr>
          <w:p w:rsidR="008C0B96" w:rsidRPr="00644D9F" w:rsidRDefault="008C0B96" w:rsidP="0046440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</w:rPr>
            </w:pPr>
            <w:r w:rsidRPr="00644D9F">
              <w:rPr>
                <w:rFonts w:ascii="Times New Roman CYR" w:hAnsi="Times New Roman CYR" w:cs="Times New Roman CYR"/>
                <w:sz w:val="26"/>
              </w:rPr>
              <w:t>сумма</w:t>
            </w:r>
          </w:p>
        </w:tc>
        <w:tc>
          <w:tcPr>
            <w:tcW w:w="986" w:type="dxa"/>
            <w:vAlign w:val="center"/>
          </w:tcPr>
          <w:p w:rsidR="008C0B96" w:rsidRPr="00644D9F" w:rsidRDefault="008C0B96" w:rsidP="0046440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</w:rPr>
            </w:pPr>
            <w:r w:rsidRPr="00644D9F">
              <w:rPr>
                <w:rFonts w:ascii="Times New Roman CYR" w:hAnsi="Times New Roman CYR" w:cs="Times New Roman CYR"/>
                <w:sz w:val="26"/>
              </w:rPr>
              <w:t>%</w:t>
            </w:r>
          </w:p>
        </w:tc>
        <w:tc>
          <w:tcPr>
            <w:tcW w:w="1281" w:type="dxa"/>
            <w:vAlign w:val="center"/>
          </w:tcPr>
          <w:p w:rsidR="008C0B96" w:rsidRPr="00644D9F" w:rsidRDefault="008C0B96" w:rsidP="0046440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</w:rPr>
            </w:pPr>
            <w:r w:rsidRPr="00644D9F">
              <w:rPr>
                <w:rFonts w:ascii="Times New Roman CYR" w:hAnsi="Times New Roman CYR" w:cs="Times New Roman CYR"/>
                <w:sz w:val="26"/>
              </w:rPr>
              <w:t>сумма</w:t>
            </w:r>
          </w:p>
        </w:tc>
        <w:tc>
          <w:tcPr>
            <w:tcW w:w="852" w:type="dxa"/>
            <w:vAlign w:val="center"/>
          </w:tcPr>
          <w:p w:rsidR="008C0B96" w:rsidRPr="00644D9F" w:rsidRDefault="008C0B96" w:rsidP="0046440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</w:rPr>
            </w:pPr>
            <w:r w:rsidRPr="00644D9F">
              <w:rPr>
                <w:rFonts w:ascii="Times New Roman CYR" w:hAnsi="Times New Roman CYR" w:cs="Times New Roman CYR"/>
                <w:sz w:val="26"/>
              </w:rPr>
              <w:t>%</w:t>
            </w:r>
          </w:p>
        </w:tc>
        <w:tc>
          <w:tcPr>
            <w:tcW w:w="1425" w:type="dxa"/>
            <w:vMerge/>
            <w:vAlign w:val="center"/>
          </w:tcPr>
          <w:p w:rsidR="008C0B96" w:rsidRPr="00644D9F" w:rsidRDefault="008C0B96" w:rsidP="00464404">
            <w:pPr>
              <w:spacing w:after="0" w:line="240" w:lineRule="auto"/>
              <w:rPr>
                <w:rFonts w:ascii="Times New Roman CYR" w:hAnsi="Times New Roman CYR" w:cs="Times New Roman CYR"/>
                <w:sz w:val="26"/>
              </w:rPr>
            </w:pPr>
          </w:p>
        </w:tc>
      </w:tr>
      <w:tr w:rsidR="008C0B96" w:rsidRPr="00644D9F" w:rsidTr="008C0B96">
        <w:trPr>
          <w:trHeight w:val="285"/>
        </w:trPr>
        <w:tc>
          <w:tcPr>
            <w:tcW w:w="2277" w:type="dxa"/>
            <w:noWrap/>
          </w:tcPr>
          <w:p w:rsidR="008C0B96" w:rsidRPr="00644D9F" w:rsidRDefault="008C0B96" w:rsidP="00464404">
            <w:pPr>
              <w:spacing w:after="0" w:line="240" w:lineRule="auto"/>
              <w:rPr>
                <w:rFonts w:ascii="Times New Roman CYR" w:hAnsi="Times New Roman CYR" w:cs="Times New Roman CYR"/>
                <w:sz w:val="26"/>
              </w:rPr>
            </w:pPr>
            <w:proofErr w:type="spellStart"/>
            <w:r w:rsidRPr="00644D9F">
              <w:rPr>
                <w:rFonts w:ascii="Times New Roman CYR" w:hAnsi="Times New Roman CYR" w:cs="Times New Roman CYR"/>
                <w:sz w:val="26"/>
              </w:rPr>
              <w:t>Батчинский</w:t>
            </w:r>
            <w:proofErr w:type="spellEnd"/>
          </w:p>
        </w:tc>
        <w:tc>
          <w:tcPr>
            <w:tcW w:w="1521" w:type="dxa"/>
            <w:noWrap/>
          </w:tcPr>
          <w:p w:rsidR="008C0B96" w:rsidRPr="00644D9F" w:rsidRDefault="008C0B96" w:rsidP="0046440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44D9F">
              <w:rPr>
                <w:rFonts w:ascii="Times New Roman" w:hAnsi="Times New Roman"/>
                <w:sz w:val="24"/>
                <w:szCs w:val="24"/>
              </w:rPr>
              <w:t>163 890,00</w:t>
            </w:r>
          </w:p>
        </w:tc>
        <w:tc>
          <w:tcPr>
            <w:tcW w:w="1418" w:type="dxa"/>
          </w:tcPr>
          <w:p w:rsidR="008C0B96" w:rsidRPr="00644D9F" w:rsidRDefault="008C0B96" w:rsidP="0046440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44D9F">
              <w:rPr>
                <w:rFonts w:ascii="Times New Roman" w:hAnsi="Times New Roman"/>
                <w:sz w:val="24"/>
                <w:szCs w:val="24"/>
              </w:rPr>
              <w:t>110 311,00</w:t>
            </w:r>
          </w:p>
        </w:tc>
        <w:tc>
          <w:tcPr>
            <w:tcW w:w="986" w:type="dxa"/>
          </w:tcPr>
          <w:p w:rsidR="008C0B96" w:rsidRPr="00644D9F" w:rsidRDefault="008C0B96" w:rsidP="0046440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44D9F">
              <w:rPr>
                <w:rFonts w:ascii="Times New Roman" w:hAnsi="Times New Roman"/>
                <w:sz w:val="24"/>
                <w:szCs w:val="24"/>
              </w:rPr>
              <w:t>67,31</w:t>
            </w:r>
          </w:p>
        </w:tc>
        <w:tc>
          <w:tcPr>
            <w:tcW w:w="1281" w:type="dxa"/>
          </w:tcPr>
          <w:p w:rsidR="008C0B96" w:rsidRPr="00644D9F" w:rsidRDefault="008C0B96" w:rsidP="0046440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sz w:val="26"/>
              </w:rPr>
            </w:pPr>
            <w:r w:rsidRPr="00644D9F">
              <w:rPr>
                <w:rFonts w:ascii="Times New Roman CYR" w:hAnsi="Times New Roman CYR" w:cs="Times New Roman CYR"/>
                <w:sz w:val="26"/>
                <w:lang w:val="en-US"/>
              </w:rPr>
              <w:t>53 579</w:t>
            </w:r>
            <w:r w:rsidRPr="00644D9F">
              <w:rPr>
                <w:rFonts w:ascii="Times New Roman CYR" w:hAnsi="Times New Roman CYR" w:cs="Times New Roman CYR"/>
                <w:sz w:val="26"/>
              </w:rPr>
              <w:t>,00</w:t>
            </w:r>
          </w:p>
        </w:tc>
        <w:tc>
          <w:tcPr>
            <w:tcW w:w="852" w:type="dxa"/>
          </w:tcPr>
          <w:p w:rsidR="008C0B96" w:rsidRPr="00644D9F" w:rsidRDefault="008C0B96" w:rsidP="0046440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sz w:val="26"/>
              </w:rPr>
            </w:pPr>
            <w:r w:rsidRPr="00644D9F">
              <w:rPr>
                <w:rFonts w:ascii="Times New Roman CYR" w:hAnsi="Times New Roman CYR" w:cs="Times New Roman CYR"/>
                <w:sz w:val="26"/>
              </w:rPr>
              <w:t>32,7</w:t>
            </w:r>
          </w:p>
        </w:tc>
        <w:tc>
          <w:tcPr>
            <w:tcW w:w="1425" w:type="dxa"/>
            <w:noWrap/>
          </w:tcPr>
          <w:p w:rsidR="008C0B96" w:rsidRPr="00644D9F" w:rsidRDefault="008C0B96" w:rsidP="00464404">
            <w:pPr>
              <w:spacing w:after="0" w:line="240" w:lineRule="auto"/>
              <w:ind w:left="-103" w:right="-105" w:firstLine="140"/>
              <w:jc w:val="center"/>
              <w:rPr>
                <w:rFonts w:ascii="Times New Roman CYR" w:hAnsi="Times New Roman CYR" w:cs="Times New Roman CYR"/>
                <w:sz w:val="26"/>
              </w:rPr>
            </w:pPr>
            <w:r w:rsidRPr="00644D9F">
              <w:rPr>
                <w:rFonts w:ascii="Times New Roman CYR" w:hAnsi="Times New Roman CYR" w:cs="Times New Roman CYR"/>
                <w:sz w:val="26"/>
              </w:rPr>
              <w:t>163 890,00</w:t>
            </w:r>
          </w:p>
        </w:tc>
      </w:tr>
      <w:tr w:rsidR="008C0B96" w:rsidRPr="00644D9F" w:rsidTr="008C0B96">
        <w:trPr>
          <w:trHeight w:val="285"/>
        </w:trPr>
        <w:tc>
          <w:tcPr>
            <w:tcW w:w="2277" w:type="dxa"/>
            <w:noWrap/>
          </w:tcPr>
          <w:p w:rsidR="008C0B96" w:rsidRPr="00644D9F" w:rsidRDefault="008C0B96" w:rsidP="00464404">
            <w:pPr>
              <w:spacing w:after="0" w:line="240" w:lineRule="auto"/>
              <w:rPr>
                <w:rFonts w:ascii="Times New Roman CYR" w:hAnsi="Times New Roman CYR" w:cs="Times New Roman CYR"/>
                <w:sz w:val="26"/>
              </w:rPr>
            </w:pPr>
            <w:proofErr w:type="spellStart"/>
            <w:r w:rsidRPr="00644D9F">
              <w:rPr>
                <w:rFonts w:ascii="Times New Roman CYR" w:hAnsi="Times New Roman CYR" w:cs="Times New Roman CYR"/>
                <w:sz w:val="26"/>
              </w:rPr>
              <w:t>Буховичский</w:t>
            </w:r>
            <w:proofErr w:type="spellEnd"/>
          </w:p>
        </w:tc>
        <w:tc>
          <w:tcPr>
            <w:tcW w:w="1521" w:type="dxa"/>
            <w:noWrap/>
          </w:tcPr>
          <w:p w:rsidR="008C0B96" w:rsidRPr="00644D9F" w:rsidRDefault="008C0B96" w:rsidP="0046440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44D9F">
              <w:rPr>
                <w:rFonts w:ascii="Times New Roman" w:hAnsi="Times New Roman"/>
                <w:sz w:val="24"/>
                <w:szCs w:val="24"/>
              </w:rPr>
              <w:t>164 586,00</w:t>
            </w:r>
          </w:p>
        </w:tc>
        <w:tc>
          <w:tcPr>
            <w:tcW w:w="1418" w:type="dxa"/>
          </w:tcPr>
          <w:p w:rsidR="008C0B96" w:rsidRPr="00644D9F" w:rsidRDefault="008C0B96" w:rsidP="0046440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44D9F">
              <w:rPr>
                <w:rFonts w:ascii="Times New Roman" w:hAnsi="Times New Roman"/>
                <w:sz w:val="24"/>
                <w:szCs w:val="24"/>
              </w:rPr>
              <w:t>164 586,00</w:t>
            </w:r>
          </w:p>
        </w:tc>
        <w:tc>
          <w:tcPr>
            <w:tcW w:w="986" w:type="dxa"/>
          </w:tcPr>
          <w:p w:rsidR="008C0B96" w:rsidRPr="00644D9F" w:rsidRDefault="008C0B96" w:rsidP="00464404">
            <w:pPr>
              <w:spacing w:after="0" w:line="240" w:lineRule="auto"/>
              <w:ind w:left="-10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44D9F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281" w:type="dxa"/>
          </w:tcPr>
          <w:p w:rsidR="008C0B96" w:rsidRPr="00644D9F" w:rsidRDefault="008C0B96" w:rsidP="0046440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sz w:val="26"/>
              </w:rPr>
            </w:pPr>
            <w:r w:rsidRPr="00644D9F">
              <w:rPr>
                <w:rFonts w:ascii="Times New Roman CYR" w:hAnsi="Times New Roman CYR" w:cs="Times New Roman CYR"/>
                <w:sz w:val="26"/>
              </w:rPr>
              <w:t>0,00</w:t>
            </w:r>
          </w:p>
        </w:tc>
        <w:tc>
          <w:tcPr>
            <w:tcW w:w="852" w:type="dxa"/>
          </w:tcPr>
          <w:p w:rsidR="008C0B96" w:rsidRPr="00644D9F" w:rsidRDefault="008C0B96" w:rsidP="0046440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sz w:val="26"/>
              </w:rPr>
            </w:pPr>
            <w:r w:rsidRPr="00644D9F">
              <w:rPr>
                <w:rFonts w:ascii="Times New Roman CYR" w:hAnsi="Times New Roman CYR" w:cs="Times New Roman CYR"/>
                <w:sz w:val="26"/>
              </w:rPr>
              <w:t>0,00</w:t>
            </w:r>
          </w:p>
        </w:tc>
        <w:tc>
          <w:tcPr>
            <w:tcW w:w="1425" w:type="dxa"/>
            <w:noWrap/>
          </w:tcPr>
          <w:p w:rsidR="008C0B96" w:rsidRPr="00644D9F" w:rsidRDefault="008C0B96" w:rsidP="00464404">
            <w:pPr>
              <w:spacing w:after="0" w:line="240" w:lineRule="auto"/>
              <w:ind w:left="-103" w:right="-99" w:firstLine="140"/>
              <w:jc w:val="right"/>
              <w:rPr>
                <w:rFonts w:ascii="Times New Roman CYR" w:hAnsi="Times New Roman CYR" w:cs="Times New Roman CYR"/>
                <w:sz w:val="26"/>
              </w:rPr>
            </w:pPr>
            <w:r w:rsidRPr="00644D9F">
              <w:rPr>
                <w:rFonts w:ascii="Times New Roman CYR" w:hAnsi="Times New Roman CYR" w:cs="Times New Roman CYR"/>
                <w:sz w:val="26"/>
              </w:rPr>
              <w:t>164 586,00</w:t>
            </w:r>
          </w:p>
        </w:tc>
      </w:tr>
      <w:tr w:rsidR="008C0B96" w:rsidRPr="00644D9F" w:rsidTr="008C0B96">
        <w:trPr>
          <w:trHeight w:val="285"/>
        </w:trPr>
        <w:tc>
          <w:tcPr>
            <w:tcW w:w="2277" w:type="dxa"/>
            <w:noWrap/>
          </w:tcPr>
          <w:p w:rsidR="008C0B96" w:rsidRPr="00644D9F" w:rsidRDefault="008C0B96" w:rsidP="00464404">
            <w:pPr>
              <w:spacing w:after="0" w:line="240" w:lineRule="auto"/>
              <w:rPr>
                <w:rFonts w:ascii="Times New Roman CYR" w:hAnsi="Times New Roman CYR" w:cs="Times New Roman CYR"/>
                <w:sz w:val="26"/>
              </w:rPr>
            </w:pPr>
            <w:r w:rsidRPr="00644D9F">
              <w:rPr>
                <w:rFonts w:ascii="Times New Roman CYR" w:hAnsi="Times New Roman CYR" w:cs="Times New Roman CYR"/>
                <w:sz w:val="26"/>
              </w:rPr>
              <w:t>Городецкий</w:t>
            </w:r>
          </w:p>
        </w:tc>
        <w:tc>
          <w:tcPr>
            <w:tcW w:w="1521" w:type="dxa"/>
            <w:noWrap/>
          </w:tcPr>
          <w:p w:rsidR="008C0B96" w:rsidRPr="00644D9F" w:rsidRDefault="008C0B96" w:rsidP="0046440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44D9F">
              <w:rPr>
                <w:rFonts w:ascii="Times New Roman" w:hAnsi="Times New Roman"/>
                <w:sz w:val="24"/>
                <w:szCs w:val="24"/>
              </w:rPr>
              <w:t>166 583,00</w:t>
            </w:r>
          </w:p>
        </w:tc>
        <w:tc>
          <w:tcPr>
            <w:tcW w:w="1418" w:type="dxa"/>
          </w:tcPr>
          <w:p w:rsidR="008C0B96" w:rsidRPr="00644D9F" w:rsidRDefault="008C0B96" w:rsidP="0046440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44D9F">
              <w:rPr>
                <w:rFonts w:ascii="Times New Roman" w:hAnsi="Times New Roman"/>
                <w:sz w:val="24"/>
                <w:szCs w:val="24"/>
              </w:rPr>
              <w:t>66 949,00</w:t>
            </w:r>
          </w:p>
        </w:tc>
        <w:tc>
          <w:tcPr>
            <w:tcW w:w="986" w:type="dxa"/>
          </w:tcPr>
          <w:p w:rsidR="008C0B96" w:rsidRPr="00644D9F" w:rsidRDefault="008C0B96" w:rsidP="0046440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44D9F">
              <w:rPr>
                <w:rFonts w:ascii="Times New Roman" w:hAnsi="Times New Roman"/>
                <w:sz w:val="24"/>
                <w:szCs w:val="24"/>
              </w:rPr>
              <w:t>40,19</w:t>
            </w:r>
          </w:p>
        </w:tc>
        <w:tc>
          <w:tcPr>
            <w:tcW w:w="1281" w:type="dxa"/>
          </w:tcPr>
          <w:p w:rsidR="008C0B96" w:rsidRPr="00644D9F" w:rsidRDefault="008C0B96" w:rsidP="0046440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sz w:val="26"/>
              </w:rPr>
            </w:pPr>
            <w:r w:rsidRPr="00644D9F">
              <w:rPr>
                <w:rFonts w:ascii="Times New Roman CYR" w:hAnsi="Times New Roman CYR" w:cs="Times New Roman CYR"/>
                <w:sz w:val="26"/>
              </w:rPr>
              <w:t>99 634,00</w:t>
            </w:r>
          </w:p>
        </w:tc>
        <w:tc>
          <w:tcPr>
            <w:tcW w:w="852" w:type="dxa"/>
          </w:tcPr>
          <w:p w:rsidR="008C0B96" w:rsidRPr="00644D9F" w:rsidRDefault="008C0B96" w:rsidP="0046440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sz w:val="26"/>
              </w:rPr>
            </w:pPr>
            <w:r w:rsidRPr="00644D9F">
              <w:rPr>
                <w:rFonts w:ascii="Times New Roman CYR" w:hAnsi="Times New Roman CYR" w:cs="Times New Roman CYR"/>
                <w:sz w:val="26"/>
              </w:rPr>
              <w:t>59,8</w:t>
            </w:r>
          </w:p>
        </w:tc>
        <w:tc>
          <w:tcPr>
            <w:tcW w:w="1425" w:type="dxa"/>
            <w:noWrap/>
          </w:tcPr>
          <w:p w:rsidR="008C0B96" w:rsidRPr="00644D9F" w:rsidRDefault="008C0B96" w:rsidP="00464404">
            <w:pPr>
              <w:spacing w:after="0" w:line="240" w:lineRule="auto"/>
              <w:ind w:left="-103" w:right="-99" w:firstLine="140"/>
              <w:jc w:val="right"/>
              <w:rPr>
                <w:rFonts w:ascii="Times New Roman CYR" w:hAnsi="Times New Roman CYR" w:cs="Times New Roman CYR"/>
                <w:sz w:val="26"/>
              </w:rPr>
            </w:pPr>
            <w:r w:rsidRPr="00644D9F">
              <w:rPr>
                <w:rFonts w:ascii="Times New Roman CYR" w:hAnsi="Times New Roman CYR" w:cs="Times New Roman CYR"/>
                <w:sz w:val="26"/>
              </w:rPr>
              <w:t>166 583,00</w:t>
            </w:r>
          </w:p>
        </w:tc>
      </w:tr>
      <w:tr w:rsidR="008C0B96" w:rsidRPr="00644D9F" w:rsidTr="008C0B96">
        <w:trPr>
          <w:trHeight w:val="285"/>
        </w:trPr>
        <w:tc>
          <w:tcPr>
            <w:tcW w:w="2277" w:type="dxa"/>
            <w:noWrap/>
          </w:tcPr>
          <w:p w:rsidR="008C0B96" w:rsidRPr="00644D9F" w:rsidRDefault="008C0B96" w:rsidP="00464404">
            <w:pPr>
              <w:spacing w:after="0" w:line="240" w:lineRule="auto"/>
              <w:rPr>
                <w:rFonts w:ascii="Times New Roman CYR" w:hAnsi="Times New Roman CYR" w:cs="Times New Roman CYR"/>
                <w:sz w:val="26"/>
              </w:rPr>
            </w:pPr>
            <w:proofErr w:type="spellStart"/>
            <w:r w:rsidRPr="00644D9F">
              <w:rPr>
                <w:rFonts w:ascii="Times New Roman CYR" w:hAnsi="Times New Roman CYR" w:cs="Times New Roman CYR"/>
                <w:sz w:val="26"/>
              </w:rPr>
              <w:t>Дивинский</w:t>
            </w:r>
            <w:proofErr w:type="spellEnd"/>
          </w:p>
        </w:tc>
        <w:tc>
          <w:tcPr>
            <w:tcW w:w="1521" w:type="dxa"/>
            <w:noWrap/>
          </w:tcPr>
          <w:p w:rsidR="008C0B96" w:rsidRPr="00644D9F" w:rsidRDefault="008C0B96" w:rsidP="0046440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44D9F">
              <w:rPr>
                <w:rFonts w:ascii="Times New Roman" w:hAnsi="Times New Roman"/>
                <w:sz w:val="24"/>
                <w:szCs w:val="24"/>
              </w:rPr>
              <w:t>182 172,00</w:t>
            </w:r>
          </w:p>
        </w:tc>
        <w:tc>
          <w:tcPr>
            <w:tcW w:w="1418" w:type="dxa"/>
          </w:tcPr>
          <w:p w:rsidR="008C0B96" w:rsidRPr="00644D9F" w:rsidRDefault="008C0B96" w:rsidP="0046440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44D9F">
              <w:rPr>
                <w:rFonts w:ascii="Times New Roman" w:hAnsi="Times New Roman"/>
                <w:sz w:val="24"/>
                <w:szCs w:val="24"/>
              </w:rPr>
              <w:t>111 815,00</w:t>
            </w:r>
          </w:p>
        </w:tc>
        <w:tc>
          <w:tcPr>
            <w:tcW w:w="986" w:type="dxa"/>
          </w:tcPr>
          <w:p w:rsidR="008C0B96" w:rsidRPr="00644D9F" w:rsidRDefault="008C0B96" w:rsidP="0046440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44D9F">
              <w:rPr>
                <w:rFonts w:ascii="Times New Roman" w:hAnsi="Times New Roman"/>
                <w:sz w:val="24"/>
                <w:szCs w:val="24"/>
              </w:rPr>
              <w:t>61,38</w:t>
            </w:r>
          </w:p>
        </w:tc>
        <w:tc>
          <w:tcPr>
            <w:tcW w:w="1281" w:type="dxa"/>
          </w:tcPr>
          <w:p w:rsidR="008C0B96" w:rsidRPr="00644D9F" w:rsidRDefault="008C0B96" w:rsidP="0046440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sz w:val="26"/>
              </w:rPr>
            </w:pPr>
            <w:r w:rsidRPr="00644D9F">
              <w:rPr>
                <w:rFonts w:ascii="Times New Roman CYR" w:hAnsi="Times New Roman CYR" w:cs="Times New Roman CYR"/>
                <w:sz w:val="26"/>
              </w:rPr>
              <w:t>70 357,00</w:t>
            </w:r>
          </w:p>
        </w:tc>
        <w:tc>
          <w:tcPr>
            <w:tcW w:w="852" w:type="dxa"/>
          </w:tcPr>
          <w:p w:rsidR="008C0B96" w:rsidRPr="00644D9F" w:rsidRDefault="008C0B96" w:rsidP="0046440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sz w:val="26"/>
              </w:rPr>
            </w:pPr>
            <w:r w:rsidRPr="00644D9F">
              <w:rPr>
                <w:rFonts w:ascii="Times New Roman CYR" w:hAnsi="Times New Roman CYR" w:cs="Times New Roman CYR"/>
                <w:sz w:val="26"/>
              </w:rPr>
              <w:t>38,6</w:t>
            </w:r>
          </w:p>
        </w:tc>
        <w:tc>
          <w:tcPr>
            <w:tcW w:w="1425" w:type="dxa"/>
            <w:noWrap/>
          </w:tcPr>
          <w:p w:rsidR="008C0B96" w:rsidRPr="00644D9F" w:rsidRDefault="008C0B96" w:rsidP="00464404">
            <w:pPr>
              <w:spacing w:after="0" w:line="240" w:lineRule="auto"/>
              <w:ind w:left="-103" w:right="-99" w:firstLine="140"/>
              <w:jc w:val="right"/>
              <w:rPr>
                <w:rFonts w:ascii="Times New Roman CYR" w:hAnsi="Times New Roman CYR" w:cs="Times New Roman CYR"/>
                <w:sz w:val="26"/>
              </w:rPr>
            </w:pPr>
            <w:r w:rsidRPr="00644D9F">
              <w:rPr>
                <w:rFonts w:ascii="Times New Roman CYR" w:hAnsi="Times New Roman CYR" w:cs="Times New Roman CYR"/>
                <w:sz w:val="26"/>
              </w:rPr>
              <w:t>182 172,00</w:t>
            </w:r>
          </w:p>
        </w:tc>
      </w:tr>
      <w:tr w:rsidR="008C0B96" w:rsidRPr="00644D9F" w:rsidTr="008C0B96">
        <w:trPr>
          <w:trHeight w:val="285"/>
        </w:trPr>
        <w:tc>
          <w:tcPr>
            <w:tcW w:w="2277" w:type="dxa"/>
            <w:noWrap/>
          </w:tcPr>
          <w:p w:rsidR="008C0B96" w:rsidRPr="00644D9F" w:rsidRDefault="008C0B96" w:rsidP="00464404">
            <w:pPr>
              <w:spacing w:after="0" w:line="240" w:lineRule="auto"/>
              <w:rPr>
                <w:rFonts w:ascii="Times New Roman CYR" w:hAnsi="Times New Roman CYR" w:cs="Times New Roman CYR"/>
                <w:sz w:val="26"/>
              </w:rPr>
            </w:pPr>
            <w:r w:rsidRPr="00644D9F">
              <w:rPr>
                <w:rFonts w:ascii="Times New Roman CYR" w:hAnsi="Times New Roman CYR" w:cs="Times New Roman CYR"/>
                <w:sz w:val="26"/>
              </w:rPr>
              <w:t>Залесский</w:t>
            </w:r>
          </w:p>
        </w:tc>
        <w:tc>
          <w:tcPr>
            <w:tcW w:w="1521" w:type="dxa"/>
            <w:noWrap/>
          </w:tcPr>
          <w:p w:rsidR="008C0B96" w:rsidRPr="00644D9F" w:rsidRDefault="008C0B96" w:rsidP="0046440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44D9F">
              <w:rPr>
                <w:rFonts w:ascii="Times New Roman" w:hAnsi="Times New Roman"/>
                <w:sz w:val="24"/>
                <w:szCs w:val="24"/>
              </w:rPr>
              <w:t>101 565,00</w:t>
            </w:r>
          </w:p>
        </w:tc>
        <w:tc>
          <w:tcPr>
            <w:tcW w:w="1418" w:type="dxa"/>
          </w:tcPr>
          <w:p w:rsidR="008C0B96" w:rsidRPr="00644D9F" w:rsidRDefault="008C0B96" w:rsidP="0046440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44D9F">
              <w:rPr>
                <w:rFonts w:ascii="Times New Roman" w:hAnsi="Times New Roman"/>
                <w:sz w:val="24"/>
                <w:szCs w:val="24"/>
              </w:rPr>
              <w:t>58 132,00</w:t>
            </w:r>
          </w:p>
        </w:tc>
        <w:tc>
          <w:tcPr>
            <w:tcW w:w="986" w:type="dxa"/>
          </w:tcPr>
          <w:p w:rsidR="008C0B96" w:rsidRPr="00644D9F" w:rsidRDefault="008C0B96" w:rsidP="0046440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44D9F">
              <w:rPr>
                <w:rFonts w:ascii="Times New Roman" w:hAnsi="Times New Roman"/>
                <w:sz w:val="24"/>
                <w:szCs w:val="24"/>
              </w:rPr>
              <w:t>57,24</w:t>
            </w:r>
          </w:p>
        </w:tc>
        <w:tc>
          <w:tcPr>
            <w:tcW w:w="1281" w:type="dxa"/>
          </w:tcPr>
          <w:p w:rsidR="008C0B96" w:rsidRPr="00644D9F" w:rsidRDefault="008C0B96" w:rsidP="0046440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sz w:val="26"/>
              </w:rPr>
            </w:pPr>
            <w:r w:rsidRPr="00644D9F">
              <w:rPr>
                <w:rFonts w:ascii="Times New Roman CYR" w:hAnsi="Times New Roman CYR" w:cs="Times New Roman CYR"/>
                <w:sz w:val="26"/>
              </w:rPr>
              <w:t>43 433,00</w:t>
            </w:r>
          </w:p>
        </w:tc>
        <w:tc>
          <w:tcPr>
            <w:tcW w:w="852" w:type="dxa"/>
          </w:tcPr>
          <w:p w:rsidR="008C0B96" w:rsidRPr="00644D9F" w:rsidRDefault="008C0B96" w:rsidP="0046440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sz w:val="26"/>
              </w:rPr>
            </w:pPr>
            <w:r w:rsidRPr="00644D9F">
              <w:rPr>
                <w:rFonts w:ascii="Times New Roman CYR" w:hAnsi="Times New Roman CYR" w:cs="Times New Roman CYR"/>
                <w:sz w:val="26"/>
              </w:rPr>
              <w:t>42,8</w:t>
            </w:r>
          </w:p>
        </w:tc>
        <w:tc>
          <w:tcPr>
            <w:tcW w:w="1425" w:type="dxa"/>
            <w:noWrap/>
          </w:tcPr>
          <w:p w:rsidR="008C0B96" w:rsidRPr="00644D9F" w:rsidRDefault="008C0B96" w:rsidP="00464404">
            <w:pPr>
              <w:spacing w:after="0" w:line="240" w:lineRule="auto"/>
              <w:ind w:left="-103" w:right="-99" w:firstLine="140"/>
              <w:jc w:val="right"/>
              <w:rPr>
                <w:rFonts w:ascii="Times New Roman CYR" w:hAnsi="Times New Roman CYR" w:cs="Times New Roman CYR"/>
                <w:sz w:val="26"/>
              </w:rPr>
            </w:pPr>
            <w:r w:rsidRPr="00644D9F">
              <w:rPr>
                <w:rFonts w:ascii="Times New Roman CYR" w:hAnsi="Times New Roman CYR" w:cs="Times New Roman CYR"/>
                <w:sz w:val="26"/>
              </w:rPr>
              <w:t>101 565,00</w:t>
            </w:r>
          </w:p>
        </w:tc>
      </w:tr>
      <w:tr w:rsidR="008C0B96" w:rsidRPr="00644D9F" w:rsidTr="008C0B96">
        <w:trPr>
          <w:trHeight w:val="285"/>
        </w:trPr>
        <w:tc>
          <w:tcPr>
            <w:tcW w:w="2277" w:type="dxa"/>
            <w:noWrap/>
          </w:tcPr>
          <w:p w:rsidR="008C0B96" w:rsidRPr="00644D9F" w:rsidRDefault="008C0B96" w:rsidP="00464404">
            <w:pPr>
              <w:spacing w:after="0" w:line="240" w:lineRule="auto"/>
              <w:rPr>
                <w:rFonts w:ascii="Times New Roman CYR" w:hAnsi="Times New Roman CYR" w:cs="Times New Roman CYR"/>
                <w:sz w:val="26"/>
              </w:rPr>
            </w:pPr>
            <w:proofErr w:type="spellStart"/>
            <w:r w:rsidRPr="00644D9F">
              <w:rPr>
                <w:rFonts w:ascii="Times New Roman CYR" w:hAnsi="Times New Roman CYR" w:cs="Times New Roman CYR"/>
                <w:sz w:val="26"/>
              </w:rPr>
              <w:t>Киселевецкий</w:t>
            </w:r>
            <w:proofErr w:type="spellEnd"/>
          </w:p>
        </w:tc>
        <w:tc>
          <w:tcPr>
            <w:tcW w:w="1521" w:type="dxa"/>
            <w:noWrap/>
          </w:tcPr>
          <w:p w:rsidR="008C0B96" w:rsidRPr="00644D9F" w:rsidRDefault="008C0B96" w:rsidP="0046440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44D9F">
              <w:rPr>
                <w:rFonts w:ascii="Times New Roman" w:hAnsi="Times New Roman"/>
                <w:sz w:val="24"/>
                <w:szCs w:val="24"/>
              </w:rPr>
              <w:t>156 987,00</w:t>
            </w:r>
          </w:p>
        </w:tc>
        <w:tc>
          <w:tcPr>
            <w:tcW w:w="1418" w:type="dxa"/>
          </w:tcPr>
          <w:p w:rsidR="008C0B96" w:rsidRPr="00644D9F" w:rsidRDefault="008C0B96" w:rsidP="0046440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44D9F">
              <w:rPr>
                <w:rFonts w:ascii="Times New Roman" w:hAnsi="Times New Roman"/>
                <w:sz w:val="24"/>
                <w:szCs w:val="24"/>
              </w:rPr>
              <w:t>126 945,00</w:t>
            </w:r>
          </w:p>
        </w:tc>
        <w:tc>
          <w:tcPr>
            <w:tcW w:w="986" w:type="dxa"/>
          </w:tcPr>
          <w:p w:rsidR="008C0B96" w:rsidRPr="00644D9F" w:rsidRDefault="008C0B96" w:rsidP="0046440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44D9F">
              <w:rPr>
                <w:rFonts w:ascii="Times New Roman" w:hAnsi="Times New Roman"/>
                <w:sz w:val="24"/>
                <w:szCs w:val="24"/>
              </w:rPr>
              <w:t>80,86</w:t>
            </w:r>
          </w:p>
        </w:tc>
        <w:tc>
          <w:tcPr>
            <w:tcW w:w="1281" w:type="dxa"/>
          </w:tcPr>
          <w:p w:rsidR="008C0B96" w:rsidRPr="00644D9F" w:rsidRDefault="008C0B96" w:rsidP="0046440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sz w:val="26"/>
              </w:rPr>
            </w:pPr>
            <w:r w:rsidRPr="00644D9F">
              <w:rPr>
                <w:rFonts w:ascii="Times New Roman CYR" w:hAnsi="Times New Roman CYR" w:cs="Times New Roman CYR"/>
                <w:sz w:val="26"/>
              </w:rPr>
              <w:t>30 04</w:t>
            </w:r>
            <w:r w:rsidRPr="00644D9F">
              <w:rPr>
                <w:rFonts w:ascii="Times New Roman CYR" w:hAnsi="Times New Roman CYR" w:cs="Times New Roman CYR"/>
                <w:sz w:val="26"/>
                <w:lang w:val="en-US"/>
              </w:rPr>
              <w:t>2</w:t>
            </w:r>
            <w:r w:rsidRPr="00644D9F">
              <w:rPr>
                <w:rFonts w:ascii="Times New Roman CYR" w:hAnsi="Times New Roman CYR" w:cs="Times New Roman CYR"/>
                <w:sz w:val="26"/>
              </w:rPr>
              <w:t>,00</w:t>
            </w:r>
          </w:p>
        </w:tc>
        <w:tc>
          <w:tcPr>
            <w:tcW w:w="852" w:type="dxa"/>
          </w:tcPr>
          <w:p w:rsidR="008C0B96" w:rsidRPr="00644D9F" w:rsidRDefault="008C0B96" w:rsidP="0046440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sz w:val="26"/>
              </w:rPr>
            </w:pPr>
            <w:r w:rsidRPr="00644D9F">
              <w:rPr>
                <w:rFonts w:ascii="Times New Roman CYR" w:hAnsi="Times New Roman CYR" w:cs="Times New Roman CYR"/>
                <w:sz w:val="26"/>
              </w:rPr>
              <w:t>19,1</w:t>
            </w:r>
          </w:p>
        </w:tc>
        <w:tc>
          <w:tcPr>
            <w:tcW w:w="1425" w:type="dxa"/>
            <w:noWrap/>
          </w:tcPr>
          <w:p w:rsidR="008C0B96" w:rsidRPr="00644D9F" w:rsidRDefault="008C0B96" w:rsidP="00464404">
            <w:pPr>
              <w:spacing w:after="0" w:line="240" w:lineRule="auto"/>
              <w:ind w:left="-103" w:right="-99" w:firstLine="140"/>
              <w:jc w:val="right"/>
              <w:rPr>
                <w:rFonts w:ascii="Times New Roman CYR" w:hAnsi="Times New Roman CYR" w:cs="Times New Roman CYR"/>
                <w:sz w:val="26"/>
              </w:rPr>
            </w:pPr>
            <w:r w:rsidRPr="00644D9F">
              <w:rPr>
                <w:rFonts w:ascii="Times New Roman CYR" w:hAnsi="Times New Roman CYR" w:cs="Times New Roman CYR"/>
                <w:sz w:val="26"/>
              </w:rPr>
              <w:t>156 98</w:t>
            </w:r>
            <w:r w:rsidRPr="00644D9F">
              <w:rPr>
                <w:rFonts w:ascii="Times New Roman CYR" w:hAnsi="Times New Roman CYR" w:cs="Times New Roman CYR"/>
                <w:sz w:val="26"/>
                <w:lang w:val="en-US"/>
              </w:rPr>
              <w:t>7</w:t>
            </w:r>
            <w:r w:rsidRPr="00644D9F">
              <w:rPr>
                <w:rFonts w:ascii="Times New Roman CYR" w:hAnsi="Times New Roman CYR" w:cs="Times New Roman CYR"/>
                <w:sz w:val="26"/>
              </w:rPr>
              <w:t>,00</w:t>
            </w:r>
          </w:p>
        </w:tc>
      </w:tr>
      <w:tr w:rsidR="008C0B96" w:rsidRPr="00644D9F" w:rsidTr="008C0B96">
        <w:trPr>
          <w:trHeight w:val="285"/>
        </w:trPr>
        <w:tc>
          <w:tcPr>
            <w:tcW w:w="2277" w:type="dxa"/>
            <w:noWrap/>
          </w:tcPr>
          <w:p w:rsidR="008C0B96" w:rsidRPr="00644D9F" w:rsidRDefault="008C0B96" w:rsidP="00464404">
            <w:pPr>
              <w:spacing w:after="0" w:line="240" w:lineRule="auto"/>
              <w:rPr>
                <w:rFonts w:ascii="Times New Roman CYR" w:hAnsi="Times New Roman CYR" w:cs="Times New Roman CYR"/>
                <w:sz w:val="26"/>
              </w:rPr>
            </w:pPr>
            <w:proofErr w:type="spellStart"/>
            <w:r w:rsidRPr="00644D9F">
              <w:rPr>
                <w:rFonts w:ascii="Times New Roman CYR" w:hAnsi="Times New Roman CYR" w:cs="Times New Roman CYR"/>
                <w:sz w:val="26"/>
              </w:rPr>
              <w:t>Новоселковский</w:t>
            </w:r>
            <w:proofErr w:type="spellEnd"/>
          </w:p>
        </w:tc>
        <w:tc>
          <w:tcPr>
            <w:tcW w:w="1521" w:type="dxa"/>
            <w:noWrap/>
          </w:tcPr>
          <w:p w:rsidR="008C0B96" w:rsidRPr="00644D9F" w:rsidRDefault="008C0B96" w:rsidP="0046440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44D9F">
              <w:rPr>
                <w:rFonts w:ascii="Times New Roman" w:hAnsi="Times New Roman"/>
                <w:sz w:val="24"/>
                <w:szCs w:val="24"/>
              </w:rPr>
              <w:t>97 697,00</w:t>
            </w:r>
          </w:p>
        </w:tc>
        <w:tc>
          <w:tcPr>
            <w:tcW w:w="1418" w:type="dxa"/>
          </w:tcPr>
          <w:p w:rsidR="008C0B96" w:rsidRPr="00644D9F" w:rsidRDefault="008C0B96" w:rsidP="0046440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44D9F">
              <w:rPr>
                <w:rFonts w:ascii="Times New Roman" w:hAnsi="Times New Roman"/>
                <w:sz w:val="24"/>
                <w:szCs w:val="24"/>
              </w:rPr>
              <w:t>35 674,00</w:t>
            </w:r>
          </w:p>
        </w:tc>
        <w:tc>
          <w:tcPr>
            <w:tcW w:w="986" w:type="dxa"/>
          </w:tcPr>
          <w:p w:rsidR="008C0B96" w:rsidRPr="00644D9F" w:rsidRDefault="008C0B96" w:rsidP="0046440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44D9F">
              <w:rPr>
                <w:rFonts w:ascii="Times New Roman" w:hAnsi="Times New Roman"/>
                <w:sz w:val="24"/>
                <w:szCs w:val="24"/>
              </w:rPr>
              <w:t>36,51</w:t>
            </w:r>
          </w:p>
        </w:tc>
        <w:tc>
          <w:tcPr>
            <w:tcW w:w="1281" w:type="dxa"/>
          </w:tcPr>
          <w:p w:rsidR="008C0B96" w:rsidRPr="00644D9F" w:rsidRDefault="008C0B96" w:rsidP="0046440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sz w:val="26"/>
              </w:rPr>
            </w:pPr>
            <w:r w:rsidRPr="00644D9F">
              <w:rPr>
                <w:rFonts w:ascii="Times New Roman CYR" w:hAnsi="Times New Roman CYR" w:cs="Times New Roman CYR"/>
                <w:sz w:val="26"/>
              </w:rPr>
              <w:t>62 023,00</w:t>
            </w:r>
          </w:p>
        </w:tc>
        <w:tc>
          <w:tcPr>
            <w:tcW w:w="852" w:type="dxa"/>
          </w:tcPr>
          <w:p w:rsidR="008C0B96" w:rsidRPr="00644D9F" w:rsidRDefault="008C0B96" w:rsidP="0046440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sz w:val="26"/>
              </w:rPr>
            </w:pPr>
            <w:r w:rsidRPr="00644D9F">
              <w:rPr>
                <w:rFonts w:ascii="Times New Roman CYR" w:hAnsi="Times New Roman CYR" w:cs="Times New Roman CYR"/>
                <w:sz w:val="26"/>
              </w:rPr>
              <w:t>63,5</w:t>
            </w:r>
          </w:p>
        </w:tc>
        <w:tc>
          <w:tcPr>
            <w:tcW w:w="1425" w:type="dxa"/>
            <w:noWrap/>
          </w:tcPr>
          <w:p w:rsidR="008C0B96" w:rsidRPr="00644D9F" w:rsidRDefault="008C0B96" w:rsidP="00464404">
            <w:pPr>
              <w:spacing w:after="0" w:line="240" w:lineRule="auto"/>
              <w:ind w:left="-103" w:right="-99" w:firstLine="140"/>
              <w:jc w:val="right"/>
              <w:rPr>
                <w:rFonts w:ascii="Times New Roman CYR" w:hAnsi="Times New Roman CYR" w:cs="Times New Roman CYR"/>
                <w:sz w:val="26"/>
              </w:rPr>
            </w:pPr>
            <w:r w:rsidRPr="00644D9F">
              <w:rPr>
                <w:rFonts w:ascii="Times New Roman CYR" w:hAnsi="Times New Roman CYR" w:cs="Times New Roman CYR"/>
                <w:sz w:val="26"/>
              </w:rPr>
              <w:t>97 697,00</w:t>
            </w:r>
          </w:p>
        </w:tc>
      </w:tr>
      <w:tr w:rsidR="008C0B96" w:rsidRPr="0075482B" w:rsidTr="008C0B96">
        <w:trPr>
          <w:trHeight w:val="285"/>
        </w:trPr>
        <w:tc>
          <w:tcPr>
            <w:tcW w:w="2277" w:type="dxa"/>
            <w:noWrap/>
          </w:tcPr>
          <w:p w:rsidR="008C0B96" w:rsidRPr="0075482B" w:rsidRDefault="008C0B96" w:rsidP="00464404">
            <w:pPr>
              <w:spacing w:after="0" w:line="240" w:lineRule="auto"/>
              <w:rPr>
                <w:rFonts w:ascii="Times New Roman CYR" w:hAnsi="Times New Roman CYR" w:cs="Times New Roman CYR"/>
                <w:sz w:val="26"/>
              </w:rPr>
            </w:pPr>
            <w:proofErr w:type="spellStart"/>
            <w:r w:rsidRPr="0075482B">
              <w:rPr>
                <w:rFonts w:ascii="Times New Roman CYR" w:hAnsi="Times New Roman CYR" w:cs="Times New Roman CYR"/>
                <w:sz w:val="26"/>
              </w:rPr>
              <w:t>Остромичский</w:t>
            </w:r>
            <w:proofErr w:type="spellEnd"/>
          </w:p>
        </w:tc>
        <w:tc>
          <w:tcPr>
            <w:tcW w:w="1521" w:type="dxa"/>
            <w:noWrap/>
          </w:tcPr>
          <w:p w:rsidR="008C0B96" w:rsidRPr="0075482B" w:rsidRDefault="008C0B96" w:rsidP="0046440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482B">
              <w:rPr>
                <w:rFonts w:ascii="Times New Roman" w:hAnsi="Times New Roman"/>
                <w:sz w:val="24"/>
                <w:szCs w:val="24"/>
              </w:rPr>
              <w:t>153 878,00</w:t>
            </w:r>
          </w:p>
        </w:tc>
        <w:tc>
          <w:tcPr>
            <w:tcW w:w="1418" w:type="dxa"/>
          </w:tcPr>
          <w:p w:rsidR="008C0B96" w:rsidRPr="0075482B" w:rsidRDefault="008C0B96" w:rsidP="0046440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482B">
              <w:rPr>
                <w:rFonts w:ascii="Times New Roman" w:hAnsi="Times New Roman"/>
                <w:sz w:val="24"/>
                <w:szCs w:val="24"/>
              </w:rPr>
              <w:t>59 880,00</w:t>
            </w:r>
          </w:p>
        </w:tc>
        <w:tc>
          <w:tcPr>
            <w:tcW w:w="986" w:type="dxa"/>
          </w:tcPr>
          <w:p w:rsidR="008C0B96" w:rsidRPr="0075482B" w:rsidRDefault="008C0B96" w:rsidP="0046440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482B">
              <w:rPr>
                <w:rFonts w:ascii="Times New Roman" w:hAnsi="Times New Roman"/>
                <w:sz w:val="24"/>
                <w:szCs w:val="24"/>
              </w:rPr>
              <w:t>38,91</w:t>
            </w:r>
          </w:p>
        </w:tc>
        <w:tc>
          <w:tcPr>
            <w:tcW w:w="1281" w:type="dxa"/>
          </w:tcPr>
          <w:p w:rsidR="008C0B96" w:rsidRPr="0075482B" w:rsidRDefault="008C0B96" w:rsidP="0046440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sz w:val="26"/>
              </w:rPr>
            </w:pPr>
            <w:r w:rsidRPr="0075482B">
              <w:rPr>
                <w:rFonts w:ascii="Times New Roman CYR" w:hAnsi="Times New Roman CYR" w:cs="Times New Roman CYR"/>
                <w:sz w:val="26"/>
              </w:rPr>
              <w:t>93 998,00</w:t>
            </w:r>
          </w:p>
        </w:tc>
        <w:tc>
          <w:tcPr>
            <w:tcW w:w="852" w:type="dxa"/>
          </w:tcPr>
          <w:p w:rsidR="008C0B96" w:rsidRPr="0075482B" w:rsidRDefault="008C0B96" w:rsidP="0046440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sz w:val="26"/>
              </w:rPr>
            </w:pPr>
            <w:r w:rsidRPr="0075482B">
              <w:rPr>
                <w:rFonts w:ascii="Times New Roman CYR" w:hAnsi="Times New Roman CYR" w:cs="Times New Roman CYR"/>
                <w:sz w:val="26"/>
              </w:rPr>
              <w:t>61,1</w:t>
            </w:r>
          </w:p>
        </w:tc>
        <w:tc>
          <w:tcPr>
            <w:tcW w:w="1425" w:type="dxa"/>
            <w:noWrap/>
          </w:tcPr>
          <w:p w:rsidR="008C0B96" w:rsidRPr="0075482B" w:rsidRDefault="008C0B96" w:rsidP="00464404">
            <w:pPr>
              <w:spacing w:after="0" w:line="240" w:lineRule="auto"/>
              <w:ind w:left="-103" w:right="-99" w:firstLine="140"/>
              <w:jc w:val="right"/>
              <w:rPr>
                <w:rFonts w:ascii="Times New Roman CYR" w:hAnsi="Times New Roman CYR" w:cs="Times New Roman CYR"/>
                <w:sz w:val="26"/>
              </w:rPr>
            </w:pPr>
            <w:r w:rsidRPr="0075482B">
              <w:rPr>
                <w:rFonts w:ascii="Times New Roman CYR" w:hAnsi="Times New Roman CYR" w:cs="Times New Roman CYR"/>
                <w:sz w:val="26"/>
              </w:rPr>
              <w:t>153 878,00</w:t>
            </w:r>
          </w:p>
        </w:tc>
      </w:tr>
      <w:tr w:rsidR="008C0B96" w:rsidRPr="0075482B" w:rsidTr="008C0B96">
        <w:trPr>
          <w:trHeight w:val="285"/>
        </w:trPr>
        <w:tc>
          <w:tcPr>
            <w:tcW w:w="2277" w:type="dxa"/>
            <w:noWrap/>
          </w:tcPr>
          <w:p w:rsidR="008C0B96" w:rsidRPr="0075482B" w:rsidRDefault="008C0B96" w:rsidP="00464404">
            <w:pPr>
              <w:spacing w:after="0" w:line="240" w:lineRule="auto"/>
              <w:rPr>
                <w:rFonts w:ascii="Times New Roman CYR" w:hAnsi="Times New Roman CYR" w:cs="Times New Roman CYR"/>
                <w:sz w:val="26"/>
              </w:rPr>
            </w:pPr>
            <w:proofErr w:type="spellStart"/>
            <w:r w:rsidRPr="0075482B">
              <w:rPr>
                <w:rFonts w:ascii="Times New Roman CYR" w:hAnsi="Times New Roman CYR" w:cs="Times New Roman CYR"/>
                <w:sz w:val="26"/>
              </w:rPr>
              <w:t>Повитьевский</w:t>
            </w:r>
            <w:proofErr w:type="spellEnd"/>
          </w:p>
        </w:tc>
        <w:tc>
          <w:tcPr>
            <w:tcW w:w="1521" w:type="dxa"/>
            <w:noWrap/>
          </w:tcPr>
          <w:p w:rsidR="008C0B96" w:rsidRPr="0075482B" w:rsidRDefault="008C0B96" w:rsidP="0046440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482B">
              <w:rPr>
                <w:rFonts w:ascii="Times New Roman" w:hAnsi="Times New Roman"/>
                <w:sz w:val="24"/>
                <w:szCs w:val="24"/>
              </w:rPr>
              <w:t>102 006,00</w:t>
            </w:r>
          </w:p>
        </w:tc>
        <w:tc>
          <w:tcPr>
            <w:tcW w:w="1418" w:type="dxa"/>
          </w:tcPr>
          <w:p w:rsidR="008C0B96" w:rsidRPr="0075482B" w:rsidRDefault="008C0B96" w:rsidP="0046440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482B">
              <w:rPr>
                <w:rFonts w:ascii="Times New Roman" w:hAnsi="Times New Roman"/>
                <w:sz w:val="24"/>
                <w:szCs w:val="24"/>
              </w:rPr>
              <w:t>28 473,00</w:t>
            </w:r>
          </w:p>
        </w:tc>
        <w:tc>
          <w:tcPr>
            <w:tcW w:w="986" w:type="dxa"/>
          </w:tcPr>
          <w:p w:rsidR="008C0B96" w:rsidRPr="0075482B" w:rsidRDefault="008C0B96" w:rsidP="0046440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482B">
              <w:rPr>
                <w:rFonts w:ascii="Times New Roman" w:hAnsi="Times New Roman"/>
                <w:sz w:val="24"/>
                <w:szCs w:val="24"/>
              </w:rPr>
              <w:t>27,91</w:t>
            </w:r>
          </w:p>
        </w:tc>
        <w:tc>
          <w:tcPr>
            <w:tcW w:w="1281" w:type="dxa"/>
          </w:tcPr>
          <w:p w:rsidR="008C0B96" w:rsidRPr="0075482B" w:rsidRDefault="008C0B96" w:rsidP="0046440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sz w:val="26"/>
              </w:rPr>
            </w:pPr>
            <w:r w:rsidRPr="0075482B">
              <w:rPr>
                <w:rFonts w:ascii="Times New Roman CYR" w:hAnsi="Times New Roman CYR" w:cs="Times New Roman CYR"/>
                <w:sz w:val="26"/>
              </w:rPr>
              <w:t>73 533,00</w:t>
            </w:r>
          </w:p>
        </w:tc>
        <w:tc>
          <w:tcPr>
            <w:tcW w:w="852" w:type="dxa"/>
          </w:tcPr>
          <w:p w:rsidR="008C0B96" w:rsidRPr="0075482B" w:rsidRDefault="008C0B96" w:rsidP="0046440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sz w:val="26"/>
              </w:rPr>
            </w:pPr>
            <w:r w:rsidRPr="0075482B">
              <w:rPr>
                <w:rFonts w:ascii="Times New Roman CYR" w:hAnsi="Times New Roman CYR" w:cs="Times New Roman CYR"/>
                <w:sz w:val="26"/>
              </w:rPr>
              <w:t>72,1</w:t>
            </w:r>
          </w:p>
        </w:tc>
        <w:tc>
          <w:tcPr>
            <w:tcW w:w="1425" w:type="dxa"/>
            <w:noWrap/>
          </w:tcPr>
          <w:p w:rsidR="008C0B96" w:rsidRPr="0075482B" w:rsidRDefault="008C0B96" w:rsidP="00464404">
            <w:pPr>
              <w:spacing w:after="0" w:line="240" w:lineRule="auto"/>
              <w:ind w:left="-103" w:right="-99" w:firstLine="140"/>
              <w:jc w:val="right"/>
              <w:rPr>
                <w:rFonts w:ascii="Times New Roman CYR" w:hAnsi="Times New Roman CYR" w:cs="Times New Roman CYR"/>
                <w:sz w:val="26"/>
              </w:rPr>
            </w:pPr>
            <w:r w:rsidRPr="0075482B">
              <w:rPr>
                <w:rFonts w:ascii="Times New Roman CYR" w:hAnsi="Times New Roman CYR" w:cs="Times New Roman CYR"/>
                <w:sz w:val="26"/>
              </w:rPr>
              <w:t>102 006,00</w:t>
            </w:r>
          </w:p>
        </w:tc>
      </w:tr>
      <w:tr w:rsidR="008C0B96" w:rsidRPr="0075482B" w:rsidTr="008C0B96">
        <w:trPr>
          <w:trHeight w:val="285"/>
        </w:trPr>
        <w:tc>
          <w:tcPr>
            <w:tcW w:w="2277" w:type="dxa"/>
            <w:noWrap/>
          </w:tcPr>
          <w:p w:rsidR="008C0B96" w:rsidRPr="0075482B" w:rsidRDefault="008C0B96" w:rsidP="00464404">
            <w:pPr>
              <w:spacing w:after="0" w:line="240" w:lineRule="auto"/>
              <w:rPr>
                <w:rFonts w:ascii="Times New Roman CYR" w:hAnsi="Times New Roman CYR" w:cs="Times New Roman CYR"/>
                <w:sz w:val="26"/>
              </w:rPr>
            </w:pPr>
            <w:proofErr w:type="spellStart"/>
            <w:r w:rsidRPr="0075482B">
              <w:rPr>
                <w:rFonts w:ascii="Times New Roman CYR" w:hAnsi="Times New Roman CYR" w:cs="Times New Roman CYR"/>
                <w:sz w:val="26"/>
              </w:rPr>
              <w:t>Тевельский</w:t>
            </w:r>
            <w:proofErr w:type="spellEnd"/>
          </w:p>
        </w:tc>
        <w:tc>
          <w:tcPr>
            <w:tcW w:w="1521" w:type="dxa"/>
            <w:noWrap/>
          </w:tcPr>
          <w:p w:rsidR="008C0B96" w:rsidRPr="0075482B" w:rsidRDefault="008C0B96" w:rsidP="0046440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482B">
              <w:rPr>
                <w:rFonts w:ascii="Times New Roman" w:hAnsi="Times New Roman"/>
                <w:sz w:val="24"/>
                <w:szCs w:val="24"/>
              </w:rPr>
              <w:t>113 127,00</w:t>
            </w:r>
          </w:p>
        </w:tc>
        <w:tc>
          <w:tcPr>
            <w:tcW w:w="1418" w:type="dxa"/>
          </w:tcPr>
          <w:p w:rsidR="008C0B96" w:rsidRPr="0075482B" w:rsidRDefault="008C0B96" w:rsidP="0046440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482B">
              <w:rPr>
                <w:rFonts w:ascii="Times New Roman" w:hAnsi="Times New Roman"/>
                <w:sz w:val="24"/>
                <w:szCs w:val="24"/>
              </w:rPr>
              <w:t>44 266,00</w:t>
            </w:r>
          </w:p>
        </w:tc>
        <w:tc>
          <w:tcPr>
            <w:tcW w:w="986" w:type="dxa"/>
          </w:tcPr>
          <w:p w:rsidR="008C0B96" w:rsidRPr="0075482B" w:rsidRDefault="008C0B96" w:rsidP="0046440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482B">
              <w:rPr>
                <w:rFonts w:ascii="Times New Roman" w:hAnsi="Times New Roman"/>
                <w:sz w:val="24"/>
                <w:szCs w:val="24"/>
              </w:rPr>
              <w:t>39,13</w:t>
            </w:r>
          </w:p>
        </w:tc>
        <w:tc>
          <w:tcPr>
            <w:tcW w:w="1281" w:type="dxa"/>
          </w:tcPr>
          <w:p w:rsidR="008C0B96" w:rsidRPr="0075482B" w:rsidRDefault="008C0B96" w:rsidP="0046440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sz w:val="26"/>
              </w:rPr>
            </w:pPr>
            <w:r w:rsidRPr="0075482B">
              <w:rPr>
                <w:rFonts w:ascii="Times New Roman CYR" w:hAnsi="Times New Roman CYR" w:cs="Times New Roman CYR"/>
                <w:sz w:val="26"/>
              </w:rPr>
              <w:t>68 861,00</w:t>
            </w:r>
          </w:p>
        </w:tc>
        <w:tc>
          <w:tcPr>
            <w:tcW w:w="852" w:type="dxa"/>
          </w:tcPr>
          <w:p w:rsidR="008C0B96" w:rsidRPr="0075482B" w:rsidRDefault="008C0B96" w:rsidP="0046440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sz w:val="26"/>
              </w:rPr>
            </w:pPr>
            <w:r w:rsidRPr="0075482B">
              <w:rPr>
                <w:rFonts w:ascii="Times New Roman CYR" w:hAnsi="Times New Roman CYR" w:cs="Times New Roman CYR"/>
                <w:sz w:val="26"/>
              </w:rPr>
              <w:t>60,9</w:t>
            </w:r>
          </w:p>
        </w:tc>
        <w:tc>
          <w:tcPr>
            <w:tcW w:w="1425" w:type="dxa"/>
            <w:noWrap/>
          </w:tcPr>
          <w:p w:rsidR="008C0B96" w:rsidRPr="0075482B" w:rsidRDefault="008C0B96" w:rsidP="00464404">
            <w:pPr>
              <w:spacing w:after="0" w:line="240" w:lineRule="auto"/>
              <w:ind w:left="-103" w:right="-99" w:firstLine="140"/>
              <w:jc w:val="right"/>
              <w:rPr>
                <w:rFonts w:ascii="Times New Roman CYR" w:hAnsi="Times New Roman CYR" w:cs="Times New Roman CYR"/>
                <w:sz w:val="26"/>
              </w:rPr>
            </w:pPr>
            <w:r w:rsidRPr="0075482B">
              <w:rPr>
                <w:rFonts w:ascii="Times New Roman CYR" w:hAnsi="Times New Roman CYR" w:cs="Times New Roman CYR"/>
                <w:sz w:val="26"/>
              </w:rPr>
              <w:t>113 127,00</w:t>
            </w:r>
          </w:p>
        </w:tc>
      </w:tr>
      <w:tr w:rsidR="008C0B96" w:rsidRPr="0075482B" w:rsidTr="008C0B96">
        <w:trPr>
          <w:trHeight w:val="285"/>
        </w:trPr>
        <w:tc>
          <w:tcPr>
            <w:tcW w:w="2277" w:type="dxa"/>
            <w:noWrap/>
          </w:tcPr>
          <w:p w:rsidR="008C0B96" w:rsidRPr="0075482B" w:rsidRDefault="008C0B96" w:rsidP="00464404">
            <w:pPr>
              <w:spacing w:after="0" w:line="240" w:lineRule="auto"/>
              <w:rPr>
                <w:rFonts w:ascii="Times New Roman CYR" w:hAnsi="Times New Roman CYR" w:cs="Times New Roman CYR"/>
                <w:sz w:val="26"/>
              </w:rPr>
            </w:pPr>
            <w:proofErr w:type="spellStart"/>
            <w:r w:rsidRPr="0075482B">
              <w:rPr>
                <w:rFonts w:ascii="Times New Roman CYR" w:hAnsi="Times New Roman CYR" w:cs="Times New Roman CYR"/>
                <w:sz w:val="26"/>
              </w:rPr>
              <w:t>Хидринский</w:t>
            </w:r>
            <w:proofErr w:type="spellEnd"/>
          </w:p>
        </w:tc>
        <w:tc>
          <w:tcPr>
            <w:tcW w:w="1521" w:type="dxa"/>
            <w:noWrap/>
          </w:tcPr>
          <w:p w:rsidR="008C0B96" w:rsidRPr="0075482B" w:rsidRDefault="008C0B96" w:rsidP="0046440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482B">
              <w:rPr>
                <w:rFonts w:ascii="Times New Roman" w:hAnsi="Times New Roman"/>
                <w:sz w:val="24"/>
                <w:szCs w:val="24"/>
              </w:rPr>
              <w:t>171 618,00</w:t>
            </w:r>
          </w:p>
        </w:tc>
        <w:tc>
          <w:tcPr>
            <w:tcW w:w="1418" w:type="dxa"/>
          </w:tcPr>
          <w:p w:rsidR="008C0B96" w:rsidRPr="0075482B" w:rsidRDefault="008C0B96" w:rsidP="0046440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482B">
              <w:rPr>
                <w:rFonts w:ascii="Times New Roman" w:hAnsi="Times New Roman"/>
                <w:sz w:val="24"/>
                <w:szCs w:val="24"/>
              </w:rPr>
              <w:t>148 787,00</w:t>
            </w:r>
          </w:p>
        </w:tc>
        <w:tc>
          <w:tcPr>
            <w:tcW w:w="986" w:type="dxa"/>
          </w:tcPr>
          <w:p w:rsidR="008C0B96" w:rsidRPr="0075482B" w:rsidRDefault="008C0B96" w:rsidP="0046440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482B">
              <w:rPr>
                <w:rFonts w:ascii="Times New Roman" w:hAnsi="Times New Roman"/>
                <w:sz w:val="24"/>
                <w:szCs w:val="24"/>
              </w:rPr>
              <w:t>86,70</w:t>
            </w:r>
          </w:p>
        </w:tc>
        <w:tc>
          <w:tcPr>
            <w:tcW w:w="1281" w:type="dxa"/>
          </w:tcPr>
          <w:p w:rsidR="008C0B96" w:rsidRPr="0075482B" w:rsidRDefault="008C0B96" w:rsidP="0046440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sz w:val="26"/>
              </w:rPr>
            </w:pPr>
            <w:r w:rsidRPr="0075482B">
              <w:rPr>
                <w:rFonts w:ascii="Times New Roman CYR" w:hAnsi="Times New Roman CYR" w:cs="Times New Roman CYR"/>
                <w:sz w:val="26"/>
              </w:rPr>
              <w:t>22 831,00</w:t>
            </w:r>
          </w:p>
        </w:tc>
        <w:tc>
          <w:tcPr>
            <w:tcW w:w="852" w:type="dxa"/>
          </w:tcPr>
          <w:p w:rsidR="008C0B96" w:rsidRPr="0075482B" w:rsidRDefault="008C0B96" w:rsidP="0046440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sz w:val="26"/>
                <w:lang w:val="en-US"/>
              </w:rPr>
            </w:pPr>
            <w:r w:rsidRPr="0075482B">
              <w:rPr>
                <w:rFonts w:ascii="Times New Roman CYR" w:hAnsi="Times New Roman CYR" w:cs="Times New Roman CYR"/>
                <w:sz w:val="26"/>
              </w:rPr>
              <w:t>13,3</w:t>
            </w:r>
          </w:p>
        </w:tc>
        <w:tc>
          <w:tcPr>
            <w:tcW w:w="1425" w:type="dxa"/>
            <w:noWrap/>
          </w:tcPr>
          <w:p w:rsidR="008C0B96" w:rsidRPr="0075482B" w:rsidRDefault="008C0B96" w:rsidP="00464404">
            <w:pPr>
              <w:spacing w:after="0" w:line="240" w:lineRule="auto"/>
              <w:ind w:left="-103" w:right="-99" w:firstLine="140"/>
              <w:jc w:val="right"/>
              <w:rPr>
                <w:rFonts w:ascii="Times New Roman CYR" w:hAnsi="Times New Roman CYR" w:cs="Times New Roman CYR"/>
                <w:sz w:val="26"/>
              </w:rPr>
            </w:pPr>
            <w:r w:rsidRPr="0075482B">
              <w:rPr>
                <w:rFonts w:ascii="Times New Roman CYR" w:hAnsi="Times New Roman CYR" w:cs="Times New Roman CYR"/>
                <w:sz w:val="26"/>
              </w:rPr>
              <w:t>171 618,00</w:t>
            </w:r>
          </w:p>
        </w:tc>
      </w:tr>
      <w:tr w:rsidR="008C0B96" w:rsidRPr="0075482B" w:rsidTr="008C0B96">
        <w:trPr>
          <w:trHeight w:val="285"/>
        </w:trPr>
        <w:tc>
          <w:tcPr>
            <w:tcW w:w="2277" w:type="dxa"/>
            <w:noWrap/>
          </w:tcPr>
          <w:p w:rsidR="008C0B96" w:rsidRPr="0075482B" w:rsidRDefault="008C0B96" w:rsidP="00464404">
            <w:pPr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75482B">
              <w:rPr>
                <w:rFonts w:ascii="Times New Roman CYR" w:hAnsi="Times New Roman CYR" w:cs="Times New Roman CYR"/>
              </w:rPr>
              <w:t>ИТОГО</w:t>
            </w:r>
          </w:p>
        </w:tc>
        <w:tc>
          <w:tcPr>
            <w:tcW w:w="1521" w:type="dxa"/>
            <w:noWrap/>
          </w:tcPr>
          <w:p w:rsidR="008C0B96" w:rsidRPr="0075482B" w:rsidRDefault="008C0B96" w:rsidP="0046440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482B">
              <w:rPr>
                <w:rFonts w:ascii="Times New Roman" w:hAnsi="Times New Roman"/>
                <w:sz w:val="24"/>
                <w:szCs w:val="24"/>
              </w:rPr>
              <w:t>1 574 109,00</w:t>
            </w:r>
          </w:p>
        </w:tc>
        <w:tc>
          <w:tcPr>
            <w:tcW w:w="1418" w:type="dxa"/>
          </w:tcPr>
          <w:p w:rsidR="008C0B96" w:rsidRPr="0075482B" w:rsidRDefault="008C0B96" w:rsidP="0046440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sz w:val="26"/>
              </w:rPr>
            </w:pPr>
            <w:r w:rsidRPr="0075482B">
              <w:rPr>
                <w:rFonts w:ascii="Times New Roman CYR" w:hAnsi="Times New Roman CYR" w:cs="Times New Roman CYR"/>
                <w:sz w:val="26"/>
              </w:rPr>
              <w:t>955 818,00</w:t>
            </w:r>
          </w:p>
          <w:p w:rsidR="008C0B96" w:rsidRPr="0075482B" w:rsidRDefault="008C0B96" w:rsidP="00464404">
            <w:pPr>
              <w:spacing w:after="0" w:line="240" w:lineRule="auto"/>
              <w:ind w:left="-114"/>
              <w:jc w:val="right"/>
              <w:rPr>
                <w:rFonts w:ascii="Times New Roman CYR" w:hAnsi="Times New Roman CYR" w:cs="Times New Roman CYR"/>
                <w:sz w:val="26"/>
              </w:rPr>
            </w:pPr>
          </w:p>
        </w:tc>
        <w:tc>
          <w:tcPr>
            <w:tcW w:w="986" w:type="dxa"/>
          </w:tcPr>
          <w:p w:rsidR="008C0B96" w:rsidRPr="0075482B" w:rsidRDefault="008C0B96" w:rsidP="0046440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sz w:val="26"/>
              </w:rPr>
            </w:pPr>
            <w:r w:rsidRPr="0075482B">
              <w:rPr>
                <w:rFonts w:ascii="Times New Roman CYR" w:hAnsi="Times New Roman CYR" w:cs="Times New Roman CYR"/>
                <w:sz w:val="26"/>
              </w:rPr>
              <w:t>60,72</w:t>
            </w:r>
          </w:p>
        </w:tc>
        <w:tc>
          <w:tcPr>
            <w:tcW w:w="1281" w:type="dxa"/>
          </w:tcPr>
          <w:p w:rsidR="008C0B96" w:rsidRPr="0075482B" w:rsidRDefault="008C0B96" w:rsidP="00464404">
            <w:pPr>
              <w:spacing w:after="0" w:line="240" w:lineRule="auto"/>
              <w:ind w:left="-114"/>
              <w:jc w:val="right"/>
              <w:rPr>
                <w:rFonts w:ascii="Times New Roman CYR" w:hAnsi="Times New Roman CYR" w:cs="Times New Roman CYR"/>
                <w:sz w:val="26"/>
              </w:rPr>
            </w:pPr>
            <w:r w:rsidRPr="0075482B">
              <w:rPr>
                <w:rFonts w:ascii="Times New Roman CYR" w:hAnsi="Times New Roman CYR" w:cs="Times New Roman CYR"/>
                <w:sz w:val="26"/>
              </w:rPr>
              <w:t>618 29</w:t>
            </w:r>
            <w:r w:rsidRPr="0075482B">
              <w:rPr>
                <w:rFonts w:ascii="Times New Roman CYR" w:hAnsi="Times New Roman CYR" w:cs="Times New Roman CYR"/>
                <w:sz w:val="26"/>
                <w:lang w:val="en-US"/>
              </w:rPr>
              <w:t>1</w:t>
            </w:r>
            <w:r w:rsidRPr="0075482B">
              <w:rPr>
                <w:rFonts w:ascii="Times New Roman CYR" w:hAnsi="Times New Roman CYR" w:cs="Times New Roman CYR"/>
                <w:sz w:val="26"/>
              </w:rPr>
              <w:t>,00</w:t>
            </w:r>
          </w:p>
        </w:tc>
        <w:tc>
          <w:tcPr>
            <w:tcW w:w="852" w:type="dxa"/>
          </w:tcPr>
          <w:p w:rsidR="008C0B96" w:rsidRPr="0075482B" w:rsidRDefault="008C0B96" w:rsidP="0046440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sz w:val="26"/>
              </w:rPr>
            </w:pPr>
            <w:r w:rsidRPr="0075482B">
              <w:rPr>
                <w:rFonts w:ascii="Times New Roman CYR" w:hAnsi="Times New Roman CYR" w:cs="Times New Roman CYR"/>
                <w:sz w:val="26"/>
              </w:rPr>
              <w:t>39,3</w:t>
            </w:r>
          </w:p>
        </w:tc>
        <w:tc>
          <w:tcPr>
            <w:tcW w:w="1425" w:type="dxa"/>
            <w:noWrap/>
          </w:tcPr>
          <w:p w:rsidR="008C0B96" w:rsidRPr="0075482B" w:rsidRDefault="008C0B96" w:rsidP="00464404">
            <w:pPr>
              <w:spacing w:after="0" w:line="240" w:lineRule="auto"/>
              <w:ind w:left="-103" w:right="-99"/>
              <w:jc w:val="right"/>
              <w:rPr>
                <w:rFonts w:ascii="Times New Roman CYR" w:hAnsi="Times New Roman CYR" w:cs="Times New Roman CYR"/>
                <w:sz w:val="26"/>
              </w:rPr>
            </w:pPr>
            <w:r w:rsidRPr="0075482B">
              <w:rPr>
                <w:rFonts w:ascii="Times New Roman CYR" w:hAnsi="Times New Roman CYR" w:cs="Times New Roman CYR"/>
                <w:sz w:val="26"/>
              </w:rPr>
              <w:t>1 574 109,00</w:t>
            </w:r>
          </w:p>
          <w:p w:rsidR="008C0B96" w:rsidRPr="0075482B" w:rsidRDefault="008C0B96" w:rsidP="00464404">
            <w:pPr>
              <w:spacing w:after="0" w:line="240" w:lineRule="auto"/>
              <w:ind w:left="-103" w:right="-99" w:firstLine="140"/>
              <w:jc w:val="right"/>
              <w:rPr>
                <w:rFonts w:ascii="Times New Roman CYR" w:hAnsi="Times New Roman CYR" w:cs="Times New Roman CYR"/>
              </w:rPr>
            </w:pPr>
          </w:p>
        </w:tc>
      </w:tr>
    </w:tbl>
    <w:p w:rsidR="00A94015" w:rsidRPr="00631168" w:rsidRDefault="00A94015" w:rsidP="008C0B9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sectPr w:rsidR="00A94015" w:rsidRPr="00631168" w:rsidSect="00573CB9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13D26"/>
    <w:multiLevelType w:val="hybridMultilevel"/>
    <w:tmpl w:val="28BADB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5B1"/>
    <w:rsid w:val="00004EFA"/>
    <w:rsid w:val="000065C5"/>
    <w:rsid w:val="00042431"/>
    <w:rsid w:val="00070BE8"/>
    <w:rsid w:val="000753A0"/>
    <w:rsid w:val="00085E99"/>
    <w:rsid w:val="00090EC7"/>
    <w:rsid w:val="00097B4F"/>
    <w:rsid w:val="00097EE8"/>
    <w:rsid w:val="000D1933"/>
    <w:rsid w:val="000D36C2"/>
    <w:rsid w:val="000D5F81"/>
    <w:rsid w:val="000E23A0"/>
    <w:rsid w:val="000E4B47"/>
    <w:rsid w:val="000F0948"/>
    <w:rsid w:val="00110000"/>
    <w:rsid w:val="00114CC0"/>
    <w:rsid w:val="00123B99"/>
    <w:rsid w:val="001247C1"/>
    <w:rsid w:val="00125CB9"/>
    <w:rsid w:val="001322D4"/>
    <w:rsid w:val="0015791E"/>
    <w:rsid w:val="001601B3"/>
    <w:rsid w:val="00164898"/>
    <w:rsid w:val="00166CEC"/>
    <w:rsid w:val="001723B1"/>
    <w:rsid w:val="00172E74"/>
    <w:rsid w:val="00176724"/>
    <w:rsid w:val="0019161D"/>
    <w:rsid w:val="0019292A"/>
    <w:rsid w:val="00195ED7"/>
    <w:rsid w:val="0019798C"/>
    <w:rsid w:val="001A55BB"/>
    <w:rsid w:val="001B7E2E"/>
    <w:rsid w:val="001C5AC6"/>
    <w:rsid w:val="001D2949"/>
    <w:rsid w:val="001D6568"/>
    <w:rsid w:val="00200EBD"/>
    <w:rsid w:val="00216C0F"/>
    <w:rsid w:val="002202FD"/>
    <w:rsid w:val="00247756"/>
    <w:rsid w:val="00261AC8"/>
    <w:rsid w:val="002B16DC"/>
    <w:rsid w:val="002B250A"/>
    <w:rsid w:val="002C05CB"/>
    <w:rsid w:val="002E1330"/>
    <w:rsid w:val="0032446D"/>
    <w:rsid w:val="003364D5"/>
    <w:rsid w:val="003366A5"/>
    <w:rsid w:val="00341521"/>
    <w:rsid w:val="00350486"/>
    <w:rsid w:val="00353D62"/>
    <w:rsid w:val="0035568B"/>
    <w:rsid w:val="00372EDA"/>
    <w:rsid w:val="003778C5"/>
    <w:rsid w:val="00386915"/>
    <w:rsid w:val="003905BF"/>
    <w:rsid w:val="003A01B3"/>
    <w:rsid w:val="003A3D3D"/>
    <w:rsid w:val="003B518B"/>
    <w:rsid w:val="003C0F1B"/>
    <w:rsid w:val="003C1B23"/>
    <w:rsid w:val="003D3095"/>
    <w:rsid w:val="003D37CC"/>
    <w:rsid w:val="003E61A4"/>
    <w:rsid w:val="004008EF"/>
    <w:rsid w:val="00416559"/>
    <w:rsid w:val="004251E3"/>
    <w:rsid w:val="00467BC7"/>
    <w:rsid w:val="0048440E"/>
    <w:rsid w:val="004A23E4"/>
    <w:rsid w:val="004A6A72"/>
    <w:rsid w:val="004A7384"/>
    <w:rsid w:val="004E0475"/>
    <w:rsid w:val="005048B7"/>
    <w:rsid w:val="005061AB"/>
    <w:rsid w:val="005418DA"/>
    <w:rsid w:val="00547A10"/>
    <w:rsid w:val="00563873"/>
    <w:rsid w:val="00573CB9"/>
    <w:rsid w:val="005A2E99"/>
    <w:rsid w:val="005B2974"/>
    <w:rsid w:val="005C5E12"/>
    <w:rsid w:val="005C7E3A"/>
    <w:rsid w:val="005F7862"/>
    <w:rsid w:val="00631168"/>
    <w:rsid w:val="00644EF0"/>
    <w:rsid w:val="006477ED"/>
    <w:rsid w:val="0066561A"/>
    <w:rsid w:val="0068098C"/>
    <w:rsid w:val="006902AD"/>
    <w:rsid w:val="00691D18"/>
    <w:rsid w:val="006E1BE1"/>
    <w:rsid w:val="006E2BC6"/>
    <w:rsid w:val="00711FFF"/>
    <w:rsid w:val="007128BF"/>
    <w:rsid w:val="007315B1"/>
    <w:rsid w:val="007452A4"/>
    <w:rsid w:val="007835AF"/>
    <w:rsid w:val="007B24C0"/>
    <w:rsid w:val="007B631D"/>
    <w:rsid w:val="007D3EC3"/>
    <w:rsid w:val="007D768F"/>
    <w:rsid w:val="00802B78"/>
    <w:rsid w:val="00831D16"/>
    <w:rsid w:val="008617C1"/>
    <w:rsid w:val="00866847"/>
    <w:rsid w:val="0087611B"/>
    <w:rsid w:val="00880035"/>
    <w:rsid w:val="008902B7"/>
    <w:rsid w:val="008A3294"/>
    <w:rsid w:val="008B072E"/>
    <w:rsid w:val="008B22F7"/>
    <w:rsid w:val="008B6785"/>
    <w:rsid w:val="008C0B96"/>
    <w:rsid w:val="008E0C29"/>
    <w:rsid w:val="008F62BE"/>
    <w:rsid w:val="00914930"/>
    <w:rsid w:val="00915509"/>
    <w:rsid w:val="00916A61"/>
    <w:rsid w:val="00924E93"/>
    <w:rsid w:val="00927343"/>
    <w:rsid w:val="00927AA8"/>
    <w:rsid w:val="009968A6"/>
    <w:rsid w:val="009A3849"/>
    <w:rsid w:val="009C74BE"/>
    <w:rsid w:val="009D0A57"/>
    <w:rsid w:val="009D5201"/>
    <w:rsid w:val="00A269FF"/>
    <w:rsid w:val="00A45221"/>
    <w:rsid w:val="00A52B80"/>
    <w:rsid w:val="00A57E4A"/>
    <w:rsid w:val="00A94015"/>
    <w:rsid w:val="00AA1B7A"/>
    <w:rsid w:val="00AA5DC9"/>
    <w:rsid w:val="00AB5749"/>
    <w:rsid w:val="00AC4703"/>
    <w:rsid w:val="00AE44EE"/>
    <w:rsid w:val="00AE6897"/>
    <w:rsid w:val="00B1708D"/>
    <w:rsid w:val="00B4052D"/>
    <w:rsid w:val="00B7100B"/>
    <w:rsid w:val="00B93185"/>
    <w:rsid w:val="00B967F4"/>
    <w:rsid w:val="00BD5CB7"/>
    <w:rsid w:val="00C25324"/>
    <w:rsid w:val="00C44B28"/>
    <w:rsid w:val="00C5145C"/>
    <w:rsid w:val="00C700C2"/>
    <w:rsid w:val="00C84B52"/>
    <w:rsid w:val="00C864AC"/>
    <w:rsid w:val="00C87433"/>
    <w:rsid w:val="00C9264C"/>
    <w:rsid w:val="00CC54A9"/>
    <w:rsid w:val="00CD325B"/>
    <w:rsid w:val="00CF364F"/>
    <w:rsid w:val="00D03F01"/>
    <w:rsid w:val="00D067DB"/>
    <w:rsid w:val="00D1146C"/>
    <w:rsid w:val="00D210E3"/>
    <w:rsid w:val="00D24C53"/>
    <w:rsid w:val="00D37DAE"/>
    <w:rsid w:val="00D444CE"/>
    <w:rsid w:val="00D537C5"/>
    <w:rsid w:val="00D60167"/>
    <w:rsid w:val="00D81B33"/>
    <w:rsid w:val="00DA7CCD"/>
    <w:rsid w:val="00DC50ED"/>
    <w:rsid w:val="00DD2D68"/>
    <w:rsid w:val="00DE21C3"/>
    <w:rsid w:val="00E0189B"/>
    <w:rsid w:val="00E023F8"/>
    <w:rsid w:val="00E03563"/>
    <w:rsid w:val="00E17E9F"/>
    <w:rsid w:val="00E34C19"/>
    <w:rsid w:val="00E43F15"/>
    <w:rsid w:val="00EB164A"/>
    <w:rsid w:val="00EB29F0"/>
    <w:rsid w:val="00EB6AED"/>
    <w:rsid w:val="00EC23C8"/>
    <w:rsid w:val="00EC7D34"/>
    <w:rsid w:val="00ED571B"/>
    <w:rsid w:val="00EE3AD3"/>
    <w:rsid w:val="00F1757A"/>
    <w:rsid w:val="00F2097C"/>
    <w:rsid w:val="00F23415"/>
    <w:rsid w:val="00F2431B"/>
    <w:rsid w:val="00F43309"/>
    <w:rsid w:val="00F51D89"/>
    <w:rsid w:val="00FA2E04"/>
    <w:rsid w:val="00FC159F"/>
    <w:rsid w:val="00FC22A9"/>
    <w:rsid w:val="00FD1C3A"/>
    <w:rsid w:val="00FD771F"/>
    <w:rsid w:val="00FE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E8EC3"/>
  <w15:chartTrackingRefBased/>
  <w15:docId w15:val="{7BE08113-3B0D-4959-B97A-6B132CB16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qFormat/>
    <w:rsid w:val="0019292A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315B1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30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7315B1"/>
    <w:rPr>
      <w:rFonts w:ascii="Times New Roman" w:eastAsia="Times New Roman" w:hAnsi="Times New Roman"/>
      <w:sz w:val="30"/>
    </w:rPr>
  </w:style>
  <w:style w:type="table" w:styleId="a5">
    <w:name w:val="Table Grid"/>
    <w:basedOn w:val="a1"/>
    <w:rsid w:val="007315B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">
    <w:name w:val="Знак Знак4 Знак Знак Знак Знак Знак Знак Знак Знак Знак Знак"/>
    <w:basedOn w:val="a"/>
    <w:rsid w:val="007452A4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7B631D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7B631D"/>
    <w:rPr>
      <w:sz w:val="22"/>
      <w:szCs w:val="22"/>
      <w:lang w:eastAsia="en-US"/>
    </w:rPr>
  </w:style>
  <w:style w:type="paragraph" w:styleId="3">
    <w:name w:val="Body Text 3"/>
    <w:basedOn w:val="a"/>
    <w:link w:val="30"/>
    <w:uiPriority w:val="99"/>
    <w:semiHidden/>
    <w:unhideWhenUsed/>
    <w:rsid w:val="007B631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7B631D"/>
    <w:rPr>
      <w:sz w:val="16"/>
      <w:szCs w:val="16"/>
      <w:lang w:eastAsia="en-US"/>
    </w:rPr>
  </w:style>
  <w:style w:type="paragraph" w:customStyle="1" w:styleId="a6">
    <w:name w:val="Знак"/>
    <w:basedOn w:val="a"/>
    <w:rsid w:val="007B631D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CD32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CD325B"/>
    <w:rPr>
      <w:rFonts w:ascii="Segoe UI" w:hAnsi="Segoe UI" w:cs="Segoe UI"/>
      <w:sz w:val="18"/>
      <w:szCs w:val="18"/>
      <w:lang w:eastAsia="en-US"/>
    </w:rPr>
  </w:style>
  <w:style w:type="paragraph" w:styleId="a9">
    <w:name w:val="Body Text"/>
    <w:basedOn w:val="a"/>
    <w:link w:val="aa"/>
    <w:uiPriority w:val="99"/>
    <w:semiHidden/>
    <w:unhideWhenUsed/>
    <w:rsid w:val="00EC23C8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EC23C8"/>
    <w:rPr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rsid w:val="0019292A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42">
    <w:name w:val="Стиль4"/>
    <w:basedOn w:val="a"/>
    <w:rsid w:val="0019292A"/>
    <w:pPr>
      <w:spacing w:after="0" w:line="360" w:lineRule="auto"/>
      <w:ind w:firstLine="851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A45221"/>
    <w:pPr>
      <w:spacing w:after="120" w:line="480" w:lineRule="auto"/>
      <w:ind w:left="283"/>
    </w:pPr>
    <w:rPr>
      <w:rFonts w:eastAsia="Times New Roman" w:cs="Calibri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A45221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7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1.bin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836351706036745"/>
          <c:y val="0.18966163029898833"/>
          <c:w val="0.55105085301837275"/>
          <c:h val="0.73954659188044225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доходов бюджета</c:v>
                </c:pt>
              </c:strCache>
            </c:strRef>
          </c:tx>
          <c:spPr>
            <a:scene3d>
              <a:camera prst="orthographicFront"/>
              <a:lightRig rig="threePt" dir="t">
                <a:rot lat="0" lon="0" rev="0"/>
              </a:lightRig>
            </a:scene3d>
            <a:sp3d>
              <a:bevelT w="0"/>
              <a:bevelB w="0" h="0"/>
            </a:sp3d>
          </c:spPr>
          <c:explosion val="4"/>
          <c:dPt>
            <c:idx val="0"/>
            <c:bubble3D val="0"/>
            <c:spPr>
              <a:solidFill>
                <a:srgbClr val="CC3399"/>
              </a:solidFill>
              <a:ln w="1905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>
                  <a:rot lat="0" lon="0" rev="0"/>
                </a:lightRig>
              </a:scene3d>
              <a:sp3d>
                <a:bevelT w="0"/>
                <a:bevelB w="0" h="0"/>
              </a:sp3d>
            </c:spPr>
            <c:extLst>
              <c:ext xmlns:c16="http://schemas.microsoft.com/office/drawing/2014/chart" uri="{C3380CC4-5D6E-409C-BE32-E72D297353CC}">
                <c16:uniqueId val="{00000001-B283-4E3B-AB53-00579CCD7B0A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  <a:ln w="1905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>
                  <a:rot lat="0" lon="0" rev="0"/>
                </a:lightRig>
              </a:scene3d>
              <a:sp3d>
                <a:bevelT w="0"/>
                <a:bevelB w="0" h="0"/>
              </a:sp3d>
            </c:spPr>
            <c:extLst>
              <c:ext xmlns:c16="http://schemas.microsoft.com/office/drawing/2014/chart" uri="{C3380CC4-5D6E-409C-BE32-E72D297353CC}">
                <c16:uniqueId val="{00000002-B283-4E3B-AB53-00579CCD7B0A}"/>
              </c:ext>
            </c:extLst>
          </c:dPt>
          <c:dPt>
            <c:idx val="2"/>
            <c:bubble3D val="0"/>
            <c:spPr>
              <a:solidFill>
                <a:srgbClr val="0000FF"/>
              </a:solidFill>
              <a:ln w="1905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>
                  <a:rot lat="0" lon="0" rev="0"/>
                </a:lightRig>
              </a:scene3d>
              <a:sp3d>
                <a:bevelT w="0"/>
                <a:bevelB w="0" h="0"/>
              </a:sp3d>
            </c:spPr>
            <c:extLst>
              <c:ext xmlns:c16="http://schemas.microsoft.com/office/drawing/2014/chart" uri="{C3380CC4-5D6E-409C-BE32-E72D297353CC}">
                <c16:uniqueId val="{00000003-B283-4E3B-AB53-00579CCD7B0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>
                  <a:rot lat="0" lon="0" rev="0"/>
                </a:lightRig>
              </a:scene3d>
              <a:sp3d>
                <a:bevelT w="0"/>
                <a:bevelB w="0" h="0"/>
              </a:sp3d>
            </c:spPr>
            <c:extLst>
              <c:ext xmlns:c16="http://schemas.microsoft.com/office/drawing/2014/chart" uri="{C3380CC4-5D6E-409C-BE32-E72D297353CC}">
                <c16:uniqueId val="{00000007-31A9-412C-8189-420E5F80722C}"/>
              </c:ext>
            </c:extLst>
          </c:dPt>
          <c:dLbls>
            <c:dLbl>
              <c:idx val="0"/>
              <c:layout>
                <c:manualLayout>
                  <c:x val="-0.18365950349956256"/>
                  <c:y val="-0.1199104526155609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5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r>
                      <a:rPr lang="en-US" sz="1500" b="1">
                        <a:solidFill>
                          <a:schemeClr val="tx1"/>
                        </a:solidFill>
                      </a:rPr>
                      <a:t>61,5</a:t>
                    </a:r>
                    <a:r>
                      <a:rPr lang="en-US" sz="1500" b="1" dirty="0">
                        <a:solidFill>
                          <a:schemeClr val="tx1"/>
                        </a:solidFill>
                      </a:rPr>
                      <a:t>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5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0056375765529305"/>
                      <c:h val="0.187696965498454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B283-4E3B-AB53-00579CCD7B0A}"/>
                </c:ext>
              </c:extLst>
            </c:dLbl>
            <c:dLbl>
              <c:idx val="1"/>
              <c:layout>
                <c:manualLayout>
                  <c:x val="0.17727158803099841"/>
                  <c:y val="2.3195985599485082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500" b="1" i="0" u="none" strike="noStrike" kern="1200" baseline="0">
                        <a:solidFill>
                          <a:schemeClr val="tx1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r>
                      <a:rPr lang="en-US" sz="1500" b="1">
                        <a:solidFill>
                          <a:schemeClr val="tx1"/>
                        </a:solidFill>
                      </a:rPr>
                      <a:t>33,7</a:t>
                    </a:r>
                    <a:r>
                      <a:rPr lang="en-US" sz="1500" b="1" dirty="0">
                        <a:solidFill>
                          <a:schemeClr val="tx1"/>
                        </a:solidFill>
                      </a:rPr>
                      <a:t>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500" b="1" i="0" u="none" strike="noStrike" kern="1200" baseline="0">
                      <a:solidFill>
                        <a:schemeClr val="tx1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4831146106736659"/>
                      <c:h val="0.20834752111141375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2-B283-4E3B-AB53-00579CCD7B0A}"/>
                </c:ext>
              </c:extLst>
            </c:dLbl>
            <c:dLbl>
              <c:idx val="2"/>
              <c:layout>
                <c:manualLayout>
                  <c:x val="4.1506342957130356E-2"/>
                  <c:y val="2.7124585521186559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500" b="1" i="0" u="none" strike="noStrike" kern="1200" baseline="0">
                        <a:solidFill>
                          <a:schemeClr val="tx1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r>
                      <a:rPr lang="en-US" sz="1500" b="1">
                        <a:solidFill>
                          <a:schemeClr val="tx1"/>
                        </a:solidFill>
                      </a:rPr>
                      <a:t>4,8</a:t>
                    </a:r>
                    <a:r>
                      <a:rPr lang="en-US" sz="1500" b="1" dirty="0">
                        <a:solidFill>
                          <a:schemeClr val="tx1"/>
                        </a:solidFill>
                      </a:rPr>
                      <a:t>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500" b="1" i="0" u="none" strike="noStrike" kern="1200" baseline="0">
                      <a:solidFill>
                        <a:schemeClr val="tx1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283-4E3B-AB53-00579CCD7B0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5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Налоговые доходы</c:v>
                </c:pt>
                <c:pt idx="1">
                  <c:v>Безвозмездные поступления</c:v>
                </c:pt>
                <c:pt idx="2">
                  <c:v>Неналоговые доходы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57.7</c:v>
                </c:pt>
                <c:pt idx="1">
                  <c:v>38</c:v>
                </c:pt>
                <c:pt idx="2">
                  <c:v>4.3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283-4E3B-AB53-00579CCD7B0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3"/>
        <c:delete val="1"/>
      </c:legendEntry>
      <c:layout>
        <c:manualLayout>
          <c:xMode val="edge"/>
          <c:yMode val="edge"/>
          <c:x val="0.69213823272090991"/>
          <c:y val="0.27413605237697147"/>
          <c:w val="0.29952843394575679"/>
          <c:h val="0.4968268300472482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500" b="1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8065195046742693E-2"/>
          <c:y val="0.16785906638392831"/>
          <c:w val="0.5937971709656894"/>
          <c:h val="0.73251945436014354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собственных доходов бюджета</c:v>
                </c:pt>
              </c:strCache>
            </c:strRef>
          </c:tx>
          <c:dPt>
            <c:idx val="0"/>
            <c:bubble3D val="0"/>
            <c:explosion val="5"/>
            <c:spPr>
              <a:solidFill>
                <a:srgbClr val="CC3399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CB8-412C-993D-0AC4E5251511}"/>
              </c:ext>
            </c:extLst>
          </c:dPt>
          <c:dPt>
            <c:idx val="1"/>
            <c:bubble3D val="0"/>
            <c:explosion val="5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CB8-412C-993D-0AC4E5251511}"/>
              </c:ext>
            </c:extLst>
          </c:dPt>
          <c:dPt>
            <c:idx val="2"/>
            <c:bubble3D val="0"/>
            <c:explosion val="5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6CB8-412C-993D-0AC4E5251511}"/>
              </c:ext>
            </c:extLst>
          </c:dPt>
          <c:dPt>
            <c:idx val="3"/>
            <c:bubble3D val="0"/>
            <c:explosion val="5"/>
            <c:spPr>
              <a:solidFill>
                <a:srgbClr val="00B05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6CB8-412C-993D-0AC4E5251511}"/>
              </c:ext>
            </c:extLst>
          </c:dPt>
          <c:dPt>
            <c:idx val="4"/>
            <c:bubble3D val="0"/>
            <c:explosion val="5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6CB8-412C-993D-0AC4E5251511}"/>
              </c:ext>
            </c:extLst>
          </c:dPt>
          <c:dPt>
            <c:idx val="5"/>
            <c:bubble3D val="0"/>
            <c:explosion val="5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6CB8-412C-993D-0AC4E5251511}"/>
              </c:ext>
            </c:extLst>
          </c:dPt>
          <c:dPt>
            <c:idx val="6"/>
            <c:bubble3D val="0"/>
            <c:explosion val="5"/>
            <c:spPr>
              <a:solidFill>
                <a:srgbClr val="00B0F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6CB8-412C-993D-0AC4E5251511}"/>
              </c:ext>
            </c:extLst>
          </c:dPt>
          <c:dLbls>
            <c:dLbl>
              <c:idx val="0"/>
              <c:layout>
                <c:manualLayout>
                  <c:x val="-8.9378957893567382E-2"/>
                  <c:y val="-0.16076610449080536"/>
                </c:manualLayout>
              </c:layout>
              <c:tx>
                <c:rich>
                  <a:bodyPr/>
                  <a:lstStyle/>
                  <a:p>
                    <a:r>
                      <a:rPr lang="en-US" sz="1500" b="1" i="0" u="none" strike="noStrike" kern="1200" baseline="0">
                        <a:solidFill>
                          <a:schemeClr val="tx1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rPr>
                      <a:t>42,2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CB8-412C-993D-0AC4E5251511}"/>
                </c:ext>
              </c:extLst>
            </c:dLbl>
            <c:dLbl>
              <c:idx val="1"/>
              <c:layout>
                <c:manualLayout>
                  <c:x val="2.0720866873377763E-2"/>
                  <c:y val="7.3320657608091852E-3"/>
                </c:manualLayout>
              </c:layout>
              <c:tx>
                <c:rich>
                  <a:bodyPr/>
                  <a:lstStyle/>
                  <a:p>
                    <a:r>
                      <a:rPr lang="en-US" sz="1500" b="1" i="0" u="none" strike="noStrike" kern="1200" baseline="0">
                        <a:solidFill>
                          <a:schemeClr val="tx1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rPr>
                      <a:t>22,1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CB8-412C-993D-0AC4E5251511}"/>
                </c:ext>
              </c:extLst>
            </c:dLbl>
            <c:dLbl>
              <c:idx val="2"/>
              <c:layout>
                <c:manualLayout>
                  <c:x val="-1.1077998909212107E-2"/>
                  <c:y val="-7.3231597455355206E-3"/>
                </c:manualLayout>
              </c:layout>
              <c:tx>
                <c:rich>
                  <a:bodyPr/>
                  <a:lstStyle/>
                  <a:p>
                    <a:r>
                      <a:rPr lang="en-US" sz="1500" b="1" i="0" u="none" strike="noStrike" kern="1200" baseline="0" dirty="0">
                        <a:solidFill>
                          <a:schemeClr val="tx1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rPr>
                      <a:t>10,8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CB8-412C-993D-0AC4E5251511}"/>
                </c:ext>
              </c:extLst>
            </c:dLbl>
            <c:dLbl>
              <c:idx val="3"/>
              <c:layout>
                <c:manualLayout>
                  <c:x val="0"/>
                  <c:y val="-3.7400735667050783E-3"/>
                </c:manualLayout>
              </c:layout>
              <c:tx>
                <c:rich>
                  <a:bodyPr/>
                  <a:lstStyle/>
                  <a:p>
                    <a:r>
                      <a:rPr lang="en-US" sz="1500" b="1" i="0" u="none" strike="noStrike" kern="1200" baseline="0">
                        <a:solidFill>
                          <a:schemeClr val="tx1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rPr>
                      <a:t>8,8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CB8-412C-993D-0AC4E5251511}"/>
                </c:ext>
              </c:extLst>
            </c:dLbl>
            <c:dLbl>
              <c:idx val="4"/>
              <c:layout>
                <c:manualLayout>
                  <c:x val="7.9445627162547505E-3"/>
                  <c:y val="9.7465015964409759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500" b="1" i="0" u="none" strike="noStrike" kern="1200" baseline="0">
                        <a:solidFill>
                          <a:schemeClr val="tx1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r>
                      <a:rPr lang="en-US"/>
                      <a:t>8,8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500" b="1" i="0" u="none" strike="noStrike" kern="1200" baseline="0">
                      <a:solidFill>
                        <a:schemeClr val="tx1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6CB8-412C-993D-0AC4E5251511}"/>
                </c:ext>
              </c:extLst>
            </c:dLbl>
            <c:dLbl>
              <c:idx val="5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500" b="0" i="0" u="none" strike="noStrike" kern="1200" baseline="0">
                        <a:solidFill>
                          <a:srgbClr val="FF0000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A35D0411-26B1-45E9-81E5-A772666FA3FA}" type="VALUE">
                      <a:rPr lang="en-US" sz="1500" b="1" i="0" u="none" strike="noStrike" kern="1200" baseline="0">
                        <a:solidFill>
                          <a:srgbClr val="FF0000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rPr>
                      <a:pPr>
                        <a:defRPr sz="1500">
                          <a:solidFill>
                            <a:srgbClr val="FF0000"/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[ЗНАЧЕНИЕ]</a:t>
                    </a:fld>
                    <a:endParaRPr lang="ru-RU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500" b="0" i="0" u="none" strike="noStrike" kern="1200" baseline="0">
                      <a:solidFill>
                        <a:srgbClr val="FF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6CB8-412C-993D-0AC4E5251511}"/>
                </c:ext>
              </c:extLst>
            </c:dLbl>
            <c:dLbl>
              <c:idx val="6"/>
              <c:layout>
                <c:manualLayout>
                  <c:x val="3.6382335666389341E-2"/>
                  <c:y val="5.0230160999963211E-3"/>
                </c:manualLayout>
              </c:layout>
              <c:tx>
                <c:rich>
                  <a:bodyPr/>
                  <a:lstStyle/>
                  <a:p>
                    <a:r>
                      <a:rPr lang="en-US" sz="1500" b="1" i="0" u="none" strike="noStrike" kern="1200" baseline="0">
                        <a:solidFill>
                          <a:schemeClr val="tx1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rPr>
                      <a:t>7,3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6CB8-412C-993D-0AC4E525151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5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Лист1!$A$2:$A$8</c:f>
              <c:strCache>
                <c:ptCount val="7"/>
                <c:pt idx="0">
                  <c:v>Подоходный налог</c:v>
                </c:pt>
                <c:pt idx="1">
                  <c:v>НДС</c:v>
                </c:pt>
                <c:pt idx="2">
                  <c:v>Налоги на собственность</c:v>
                </c:pt>
                <c:pt idx="3">
                  <c:v>Другие налоги от выручки</c:v>
                </c:pt>
                <c:pt idx="4">
                  <c:v>Налог на прибыль</c:v>
                </c:pt>
                <c:pt idx="5">
                  <c:v>Другие налоговые</c:v>
                </c:pt>
                <c:pt idx="6">
                  <c:v>Неналоговые доходы</c:v>
                </c:pt>
              </c:strCache>
            </c:strRef>
          </c:cat>
          <c:val>
            <c:numRef>
              <c:f>Лист1!$B$2:$B$8</c:f>
              <c:numCache>
                <c:formatCode>0.0%</c:formatCode>
                <c:ptCount val="7"/>
                <c:pt idx="0">
                  <c:v>0.38500000000000001</c:v>
                </c:pt>
                <c:pt idx="1">
                  <c:v>0.215</c:v>
                </c:pt>
                <c:pt idx="2">
                  <c:v>0.115</c:v>
                </c:pt>
                <c:pt idx="3">
                  <c:v>7.2999999999999995E-2</c:v>
                </c:pt>
                <c:pt idx="4">
                  <c:v>0.13400000000000001</c:v>
                </c:pt>
                <c:pt idx="5">
                  <c:v>8.9999999999999993E-3</c:v>
                </c:pt>
                <c:pt idx="6">
                  <c:v>6.9000000000000006E-2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6CB8-412C-993D-0AC4E525151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8479676500590847"/>
          <c:y val="0.14395018910942262"/>
          <c:w val="0.30558309177768128"/>
          <c:h val="0.8560498108905774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500" b="1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4952132545931759"/>
          <c:y val="0.18328710994459027"/>
          <c:w val="0.5190129046369204"/>
          <c:h val="0.69201720618256046"/>
        </c:manualLayout>
      </c:layout>
      <c:pieChart>
        <c:varyColors val="1"/>
        <c:ser>
          <c:idx val="0"/>
          <c:order val="0"/>
          <c:dPt>
            <c:idx val="0"/>
            <c:bubble3D val="0"/>
            <c:explosion val="7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 fov="0">
                  <a:rot lat="0" lon="0" rev="0"/>
                </a:camera>
                <a:lightRig rig="brightRoom" dir="tl">
                  <a:rot lat="0" lon="0" rev="8700000"/>
                </a:lightRig>
              </a:scene3d>
              <a:sp3d contourW="12700">
                <a:bevelT w="0" h="0"/>
                <a:contourClr>
                  <a:scrgbClr r="0" g="0" b="0">
                    <a:shade val="80000"/>
                  </a:scrgb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20C4-4059-A22E-C1F7BC8169BD}"/>
              </c:ext>
            </c:extLst>
          </c:dPt>
          <c:dPt>
            <c:idx val="1"/>
            <c:bubble3D val="0"/>
            <c:explosion val="11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 fov="0">
                  <a:rot lat="0" lon="0" rev="0"/>
                </a:camera>
                <a:lightRig rig="brightRoom" dir="tl">
                  <a:rot lat="0" lon="0" rev="8700000"/>
                </a:lightRig>
              </a:scene3d>
              <a:sp3d contourW="12700">
                <a:bevelT w="0" h="0"/>
                <a:contourClr>
                  <a:scrgbClr r="0" g="0" b="0">
                    <a:shade val="80000"/>
                  </a:scrgb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20C4-4059-A22E-C1F7BC8169BD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 fov="0">
                  <a:rot lat="0" lon="0" rev="0"/>
                </a:camera>
                <a:lightRig rig="brightRoom" dir="tl">
                  <a:rot lat="0" lon="0" rev="8700000"/>
                </a:lightRig>
              </a:scene3d>
              <a:sp3d contourW="12700">
                <a:bevelT w="0" h="0"/>
                <a:contourClr>
                  <a:scrgbClr r="0" g="0" b="0">
                    <a:shade val="80000"/>
                  </a:scrgb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20C4-4059-A22E-C1F7BC8169BD}"/>
              </c:ext>
            </c:extLst>
          </c:dPt>
          <c:dPt>
            <c:idx val="3"/>
            <c:bubble3D val="0"/>
            <c:explosion val="7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 fov="0">
                  <a:rot lat="0" lon="0" rev="0"/>
                </a:camera>
                <a:lightRig rig="brightRoom" dir="tl">
                  <a:rot lat="0" lon="0" rev="8700000"/>
                </a:lightRig>
              </a:scene3d>
              <a:sp3d contourW="12700">
                <a:bevelT w="0" h="0"/>
                <a:contourClr>
                  <a:scrgbClr r="0" g="0" b="0">
                    <a:shade val="80000"/>
                  </a:scrgb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20C4-4059-A22E-C1F7BC8169BD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 fov="0">
                  <a:rot lat="0" lon="0" rev="0"/>
                </a:camera>
                <a:lightRig rig="brightRoom" dir="tl">
                  <a:rot lat="0" lon="0" rev="8700000"/>
                </a:lightRig>
              </a:scene3d>
              <a:sp3d contourW="12700">
                <a:bevelT w="0" h="0"/>
                <a:contourClr>
                  <a:scrgbClr r="0" g="0" b="0">
                    <a:shade val="80000"/>
                  </a:scrgb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20C4-4059-A22E-C1F7BC8169BD}"/>
              </c:ext>
            </c:extLst>
          </c:dPt>
          <c:dPt>
            <c:idx val="5"/>
            <c:bubble3D val="0"/>
            <c:explosion val="9"/>
            <c:spPr>
              <a:gradFill rotWithShape="1">
                <a:gsLst>
                  <a:gs pos="0">
                    <a:schemeClr val="accent6">
                      <a:shade val="51000"/>
                      <a:satMod val="130000"/>
                    </a:schemeClr>
                  </a:gs>
                  <a:gs pos="80000">
                    <a:schemeClr val="accent6">
                      <a:shade val="93000"/>
                      <a:satMod val="130000"/>
                    </a:schemeClr>
                  </a:gs>
                  <a:gs pos="100000">
                    <a:schemeClr val="accent6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 fov="0">
                  <a:rot lat="0" lon="0" rev="0"/>
                </a:camera>
                <a:lightRig rig="brightRoom" dir="tl">
                  <a:rot lat="0" lon="0" rev="8700000"/>
                </a:lightRig>
              </a:scene3d>
              <a:sp3d contourW="12700">
                <a:bevelT w="0" h="0"/>
                <a:contourClr>
                  <a:scrgbClr r="0" g="0" b="0">
                    <a:shade val="80000"/>
                  </a:scrgb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20C4-4059-A22E-C1F7BC8169BD}"/>
              </c:ext>
            </c:extLst>
          </c:dPt>
          <c:dPt>
            <c:idx val="6"/>
            <c:bubble3D val="0"/>
            <c:explosion val="12"/>
            <c:spPr>
              <a:gradFill rotWithShape="1">
                <a:gsLst>
                  <a:gs pos="0">
                    <a:schemeClr val="accent1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1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1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 fov="0">
                  <a:rot lat="0" lon="0" rev="0"/>
                </a:camera>
                <a:lightRig rig="brightRoom" dir="tl">
                  <a:rot lat="0" lon="0" rev="8700000"/>
                </a:lightRig>
              </a:scene3d>
              <a:sp3d contourW="12700">
                <a:bevelT w="0" h="0"/>
                <a:contourClr>
                  <a:scrgbClr r="0" g="0" b="0">
                    <a:shade val="80000"/>
                  </a:scrgb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20C4-4059-A22E-C1F7BC8169BD}"/>
              </c:ext>
            </c:extLst>
          </c:dPt>
          <c:dPt>
            <c:idx val="7"/>
            <c:bubble3D val="0"/>
            <c:explosion val="9"/>
            <c:spPr>
              <a:gradFill rotWithShape="1">
                <a:gsLst>
                  <a:gs pos="0">
                    <a:schemeClr val="accent2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2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2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 fov="0">
                  <a:rot lat="0" lon="0" rev="0"/>
                </a:camera>
                <a:lightRig rig="brightRoom" dir="tl">
                  <a:rot lat="0" lon="0" rev="8700000"/>
                </a:lightRig>
              </a:scene3d>
              <a:sp3d contourW="12700">
                <a:bevelT w="0" h="0"/>
                <a:contourClr>
                  <a:scrgbClr r="0" g="0" b="0">
                    <a:shade val="80000"/>
                  </a:scrgb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20C4-4059-A22E-C1F7BC8169BD}"/>
              </c:ext>
            </c:extLst>
          </c:dPt>
          <c:dLbls>
            <c:dLbl>
              <c:idx val="0"/>
              <c:layout>
                <c:manualLayout>
                  <c:x val="-0.23085356517935263"/>
                  <c:y val="-8.635899679206772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58,3%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0C4-4059-A22E-C1F7BC8169BD}"/>
                </c:ext>
              </c:extLst>
            </c:dLbl>
            <c:dLbl>
              <c:idx val="1"/>
              <c:layout>
                <c:manualLayout>
                  <c:x val="6.720778652668416E-2"/>
                  <c:y val="6.961738116068810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2,5%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0C4-4059-A22E-C1F7BC8169BD}"/>
                </c:ext>
              </c:extLst>
            </c:dLbl>
            <c:dLbl>
              <c:idx val="2"/>
              <c:layout>
                <c:manualLayout>
                  <c:x val="8.7910104986876642E-3"/>
                  <c:y val="5.010965296004665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3,4%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0C4-4059-A22E-C1F7BC8169BD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6,6%</a:t>
                    </a:r>
                  </a:p>
                </c:rich>
              </c:tx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0C4-4059-A22E-C1F7BC8169BD}"/>
                </c:ext>
              </c:extLst>
            </c:dLbl>
            <c:dLbl>
              <c:idx val="4"/>
              <c:layout>
                <c:manualLayout>
                  <c:x val="-7.7506561679790151E-3"/>
                  <c:y val="5.6178186060075143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4,2%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20C4-4059-A22E-C1F7BC8169BD}"/>
                </c:ext>
              </c:extLst>
            </c:dLbl>
            <c:dLbl>
              <c:idx val="5"/>
              <c:layout>
                <c:manualLayout>
                  <c:x val="1.0568350831146101E-2"/>
                  <c:y val="-6.5033537474482359E-5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11,3%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20C4-4059-A22E-C1F7BC8169BD}"/>
                </c:ext>
              </c:extLst>
            </c:dLbl>
            <c:dLbl>
              <c:idx val="6"/>
              <c:layout>
                <c:manualLayout>
                  <c:x val="-4.4176509186351961E-3"/>
                  <c:y val="-3.4635462233887429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2,0%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20C4-4059-A22E-C1F7BC8169BD}"/>
                </c:ext>
              </c:extLst>
            </c:dLbl>
            <c:dLbl>
              <c:idx val="7"/>
              <c:layout>
                <c:manualLayout>
                  <c:x val="8.5165573053368332E-2"/>
                  <c:y val="0.1174365704286964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11,7%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20C4-4059-A22E-C1F7BC8169BD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500" b="0" i="0" u="none" strike="noStrike" kern="1200" baseline="0">
                    <a:solidFill>
                      <a:schemeClr val="tx2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Лист1!$A$76:$A$83</c:f>
              <c:strCache>
                <c:ptCount val="8"/>
                <c:pt idx="0">
                  <c:v>Зарплата с начислениями</c:v>
                </c:pt>
                <c:pt idx="1">
                  <c:v>Медикаменты</c:v>
                </c:pt>
                <c:pt idx="2">
                  <c:v>Продукты питания</c:v>
                </c:pt>
                <c:pt idx="3">
                  <c:v>Оплата ком. услуг</c:v>
                </c:pt>
                <c:pt idx="4">
                  <c:v>Трансферты населению</c:v>
                </c:pt>
                <c:pt idx="5">
                  <c:v>Субсидии</c:v>
                </c:pt>
                <c:pt idx="6">
                  <c:v>Кап. вложения</c:v>
                </c:pt>
                <c:pt idx="7">
                  <c:v>Прочее</c:v>
                </c:pt>
              </c:strCache>
            </c:strRef>
          </c:cat>
          <c:val>
            <c:numRef>
              <c:f>Лист1!$B$76:$B$83</c:f>
              <c:numCache>
                <c:formatCode>#,##0.0</c:formatCode>
                <c:ptCount val="8"/>
                <c:pt idx="0">
                  <c:v>61716.9</c:v>
                </c:pt>
                <c:pt idx="1">
                  <c:v>3014.9</c:v>
                </c:pt>
                <c:pt idx="2">
                  <c:v>3832.6</c:v>
                </c:pt>
                <c:pt idx="3">
                  <c:v>6806.1</c:v>
                </c:pt>
                <c:pt idx="4">
                  <c:v>4352.8</c:v>
                </c:pt>
                <c:pt idx="5">
                  <c:v>11563.1</c:v>
                </c:pt>
                <c:pt idx="6">
                  <c:v>1205.9000000000001</c:v>
                </c:pt>
                <c:pt idx="7">
                  <c:v>10060.700000000001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20C4-4059-A22E-C1F7BC8169BD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500" b="0" i="0" u="none" strike="noStrike" kern="1200" baseline="0">
                <a:solidFill>
                  <a:schemeClr val="tx2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71303532370953626"/>
          <c:y val="0.13520312044327795"/>
          <c:w val="0.27863134295713038"/>
          <c:h val="0.8276955380577427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500" b="0" i="0" u="none" strike="noStrike" kern="1200" baseline="0">
              <a:solidFill>
                <a:schemeClr val="tx2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 sz="15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5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15</Pages>
  <Words>4116</Words>
  <Characters>23467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Козлович Лидия</dc:creator>
  <cp:keywords/>
  <cp:lastModifiedBy>Микитюк Светлана Ивановна</cp:lastModifiedBy>
  <cp:revision>9</cp:revision>
  <cp:lastPrinted>2018-03-20T14:25:00Z</cp:lastPrinted>
  <dcterms:created xsi:type="dcterms:W3CDTF">2021-03-30T18:26:00Z</dcterms:created>
  <dcterms:modified xsi:type="dcterms:W3CDTF">2021-03-31T08:04:00Z</dcterms:modified>
</cp:coreProperties>
</file>