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E99F" w14:textId="22E4E1F7" w:rsidR="000A273D" w:rsidRPr="000A273D" w:rsidRDefault="000A273D" w:rsidP="000A273D">
      <w:pPr>
        <w:spacing w:line="280" w:lineRule="exact"/>
        <w:ind w:right="389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bidi="ar-SA"/>
        </w:rPr>
      </w:pPr>
      <w:r w:rsidRPr="000A273D">
        <w:rPr>
          <w:rFonts w:ascii="Times New Roman" w:hAnsi="Times New Roman" w:cs="Times New Roman"/>
          <w:b/>
          <w:bCs/>
          <w:color w:val="auto"/>
          <w:sz w:val="30"/>
          <w:szCs w:val="30"/>
        </w:rPr>
        <w:t>Решение Кобринского районного исполнительного комитета от 23 января 2023 г. № 91 «Об установлении требований к средствам наружной рекламы»</w:t>
      </w:r>
    </w:p>
    <w:p w14:paraId="4083A325" w14:textId="77777777" w:rsidR="000A273D" w:rsidRDefault="000A273D" w:rsidP="00B46ABA">
      <w:pPr>
        <w:spacing w:line="280" w:lineRule="exact"/>
        <w:ind w:right="4925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20A9D9FE" w14:textId="77777777" w:rsidR="000A273D" w:rsidRDefault="000A273D" w:rsidP="00B46ABA">
      <w:pPr>
        <w:spacing w:line="280" w:lineRule="exact"/>
        <w:ind w:right="4925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79F40EB3" w14:textId="77777777" w:rsidR="000A273D" w:rsidRDefault="000A273D" w:rsidP="00B46ABA">
      <w:pPr>
        <w:spacing w:line="280" w:lineRule="exact"/>
        <w:ind w:right="4925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E5DEFE1" w14:textId="2F1CABB5" w:rsidR="00B46ABA" w:rsidRPr="00721354" w:rsidRDefault="00B46ABA" w:rsidP="00B46ABA">
      <w:pPr>
        <w:spacing w:line="280" w:lineRule="exact"/>
        <w:ind w:right="4925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Об установлении требований </w:t>
      </w:r>
    </w:p>
    <w:p w14:paraId="04C8785D" w14:textId="77777777" w:rsidR="00B46ABA" w:rsidRDefault="00B46ABA" w:rsidP="00B46ABA">
      <w:pPr>
        <w:spacing w:line="280" w:lineRule="exact"/>
        <w:ind w:right="4925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 средствам наружной рекламы</w:t>
      </w:r>
    </w:p>
    <w:p w14:paraId="19BE314C" w14:textId="77777777" w:rsidR="00B46ABA" w:rsidRPr="00721354" w:rsidRDefault="00B46ABA" w:rsidP="00B46ABA">
      <w:pPr>
        <w:spacing w:line="280" w:lineRule="exact"/>
        <w:ind w:right="4925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3075FC37" w14:textId="77777777" w:rsidR="00B46ABA" w:rsidRDefault="00B46ABA" w:rsidP="00B46ABA">
      <w:pPr>
        <w:shd w:val="clear" w:color="auto" w:fill="FFFFFF"/>
        <w:spacing w:before="180" w:line="0" w:lineRule="atLeast"/>
        <w:ind w:firstLine="76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На основании абзаца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восьмого</w:t>
      </w: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пункта 1 статьи 9 Закона Республики Беларусь </w:t>
      </w:r>
      <w:bookmarkStart w:id="0" w:name="_Hlk119416297"/>
      <w:r w:rsidRPr="0072135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от 10 мая 2007 г. № 225-З «О рекламе»</w:t>
      </w:r>
      <w:bookmarkEnd w:id="0"/>
      <w:r w:rsidRPr="00721354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</w:t>
      </w: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Кобринский районный исполнительный комитет РЕШИЛ:</w:t>
      </w:r>
    </w:p>
    <w:p w14:paraId="39598806" w14:textId="37849713" w:rsidR="00B46ABA" w:rsidRPr="00721354" w:rsidRDefault="00B46ABA" w:rsidP="00B46ABA">
      <w:pPr>
        <w:shd w:val="clear" w:color="auto" w:fill="FFFFFF"/>
        <w:spacing w:line="0" w:lineRule="atLeast"/>
        <w:ind w:firstLine="76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1. </w:t>
      </w: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Установить </w:t>
      </w:r>
      <w:r w:rsidR="00481EFD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требования </w:t>
      </w:r>
      <w:r w:rsidR="00F67EB7" w:rsidRPr="00F67EB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 размеру и (или) иным техническим характеристикам средств наружной рекламы, размещаемых на недвижимых материальных историко-культурных ценностях и их территориях, расположенных на территории города Кобрина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, </w:t>
      </w: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согласно приложению.</w:t>
      </w:r>
    </w:p>
    <w:p w14:paraId="3AC410F1" w14:textId="77777777" w:rsidR="00B46ABA" w:rsidRPr="00721354" w:rsidRDefault="00B46ABA" w:rsidP="00B46ABA">
      <w:pPr>
        <w:ind w:firstLineChars="240" w:firstLine="7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2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bidi="ar-SA"/>
        </w:rPr>
        <w:t>2. Обнародовать (опубликовать) настоящее решение в газете «</w:t>
      </w:r>
      <w:proofErr w:type="spellStart"/>
      <w:r w:rsidRPr="0072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bidi="ar-SA"/>
        </w:rPr>
        <w:t>Кобрынскi</w:t>
      </w:r>
      <w:proofErr w:type="spellEnd"/>
      <w:r w:rsidRPr="0072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bidi="ar-SA"/>
        </w:rPr>
        <w:t xml:space="preserve"> </w:t>
      </w:r>
      <w:proofErr w:type="spellStart"/>
      <w:r w:rsidRPr="0072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bidi="ar-SA"/>
        </w:rPr>
        <w:t>веснiк</w:t>
      </w:r>
      <w:proofErr w:type="spellEnd"/>
      <w:r w:rsidRPr="0072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bidi="ar-SA"/>
        </w:rPr>
        <w:t>».</w:t>
      </w:r>
    </w:p>
    <w:p w14:paraId="0ECAC153" w14:textId="77777777" w:rsidR="00B46ABA" w:rsidRPr="00721354" w:rsidRDefault="00B46ABA" w:rsidP="00B46ABA">
      <w:pPr>
        <w:ind w:firstLineChars="240" w:firstLine="72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2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bidi="ar-SA"/>
        </w:rPr>
        <w:t>3. Настоящее решение вступает в силу после его официального опубликования.</w:t>
      </w:r>
    </w:p>
    <w:p w14:paraId="1367437A" w14:textId="77777777" w:rsidR="00B46ABA" w:rsidRPr="00721354" w:rsidRDefault="00B46ABA" w:rsidP="00B46ABA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7B946D3E" w14:textId="330D7430" w:rsidR="00B46ABA" w:rsidRPr="00721354" w:rsidRDefault="00B46ABA" w:rsidP="00B46ABA">
      <w:pPr>
        <w:tabs>
          <w:tab w:val="left" w:pos="6804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</w:rPr>
        <w:t>Председатель</w:t>
      </w: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  <w:proofErr w:type="spellStart"/>
      <w:r w:rsidR="00CE423F">
        <w:rPr>
          <w:rFonts w:ascii="Times New Roman" w:eastAsia="Times New Roman" w:hAnsi="Times New Roman" w:cs="Times New Roman"/>
          <w:color w:val="auto"/>
          <w:sz w:val="30"/>
          <w:szCs w:val="30"/>
        </w:rPr>
        <w:t>А</w:t>
      </w: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</w:rPr>
        <w:t>.Н.Пачко</w:t>
      </w:r>
      <w:proofErr w:type="spellEnd"/>
    </w:p>
    <w:p w14:paraId="082FE022" w14:textId="77777777" w:rsidR="00B46ABA" w:rsidRPr="00721354" w:rsidRDefault="00B46ABA" w:rsidP="00B46ABA">
      <w:pPr>
        <w:tabs>
          <w:tab w:val="left" w:pos="680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14:paraId="2FB62E87" w14:textId="77777777" w:rsidR="00B46ABA" w:rsidRPr="00721354" w:rsidRDefault="00B46ABA" w:rsidP="00B46ABA">
      <w:pPr>
        <w:tabs>
          <w:tab w:val="left" w:pos="6804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председателя </w:t>
      </w: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721354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И.А.Коробко</w:t>
      </w:r>
      <w:proofErr w:type="spellEnd"/>
    </w:p>
    <w:p w14:paraId="7B23B107" w14:textId="77777777" w:rsidR="00B46ABA" w:rsidRPr="00721354" w:rsidRDefault="00B46ABA" w:rsidP="00B46AB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234B5E65" w14:textId="77777777" w:rsidR="00B46ABA" w:rsidRPr="00721354" w:rsidRDefault="00B46ABA" w:rsidP="00B46AB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1D70FE1E" w14:textId="77777777" w:rsidR="00B46ABA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12D18BEF" w14:textId="77777777" w:rsidR="00B46ABA" w:rsidRPr="00721354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0BF20ACC" w14:textId="77777777" w:rsidR="00B46ABA" w:rsidRPr="00721354" w:rsidRDefault="00B46ABA" w:rsidP="00B46ABA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  <w:r w:rsidRPr="00721354"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  <w:t>СОГЛАСОВАНО</w:t>
      </w:r>
    </w:p>
    <w:p w14:paraId="5F94E5B6" w14:textId="77777777" w:rsidR="00B46ABA" w:rsidRPr="00721354" w:rsidRDefault="00B46ABA" w:rsidP="00B46ABA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  <w:r w:rsidRPr="00721354"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  <w:t xml:space="preserve">Министерство культуры </w:t>
      </w:r>
    </w:p>
    <w:p w14:paraId="6E3D5A65" w14:textId="77777777" w:rsidR="00B46ABA" w:rsidRPr="00721354" w:rsidRDefault="00B46ABA" w:rsidP="00B46ABA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</w:pPr>
      <w:r w:rsidRPr="00721354">
        <w:rPr>
          <w:rFonts w:ascii="Times New Roman" w:eastAsia="Times New Roman" w:hAnsi="Times New Roman" w:cs="Times New Roman"/>
          <w:color w:val="auto"/>
          <w:sz w:val="28"/>
          <w:szCs w:val="30"/>
          <w:lang w:bidi="ar-SA"/>
        </w:rPr>
        <w:t>Республики Беларусь</w:t>
      </w:r>
    </w:p>
    <w:p w14:paraId="42C1C861" w14:textId="77777777" w:rsidR="00B46ABA" w:rsidRPr="00721354" w:rsidRDefault="00B46ABA" w:rsidP="00B46ABA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1F311C77" w14:textId="77777777" w:rsidR="00B46ABA" w:rsidRPr="00721354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3A1DB1EF" w14:textId="77777777" w:rsidR="00B46ABA" w:rsidRPr="00721354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203FFA37" w14:textId="77777777" w:rsidR="00B46ABA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16EC208" w14:textId="77777777" w:rsidR="00B46ABA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211693A3" w14:textId="77777777" w:rsidR="00B46ABA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2956A9DD" w14:textId="7CBF5627" w:rsidR="00B46ABA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78911D9B" w14:textId="77777777" w:rsidR="00E91380" w:rsidRDefault="00E91380" w:rsidP="00B46AB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ectPr w:rsidR="00E91380" w:rsidSect="00E91380">
          <w:headerReference w:type="default" r:id="rId8"/>
          <w:headerReference w:type="first" r:id="rId9"/>
          <w:pgSz w:w="11900" w:h="16840"/>
          <w:pgMar w:top="1134" w:right="454" w:bottom="1134" w:left="1701" w:header="567" w:footer="397" w:gutter="0"/>
          <w:pgNumType w:start="2"/>
          <w:cols w:space="720"/>
          <w:docGrid w:linePitch="360"/>
        </w:sectPr>
      </w:pPr>
    </w:p>
    <w:p w14:paraId="53591253" w14:textId="1B20D33F" w:rsidR="00B46ABA" w:rsidRDefault="00B46ABA" w:rsidP="00B46ABA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22E362F8" w14:textId="0F25BDD4" w:rsidR="00D179E0" w:rsidRPr="007722D8" w:rsidRDefault="007722D8" w:rsidP="00B46ABA">
      <w:pPr>
        <w:pStyle w:val="210"/>
        <w:shd w:val="clear" w:color="auto" w:fill="auto"/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6150"/>
        </w:tabs>
        <w:spacing w:before="0" w:line="240" w:lineRule="auto"/>
        <w:ind w:firstLine="6096"/>
        <w:jc w:val="both"/>
        <w:rPr>
          <w:color w:val="auto"/>
        </w:rPr>
      </w:pPr>
      <w:r>
        <w:t>Приложение</w:t>
      </w:r>
    </w:p>
    <w:p w14:paraId="32CA73E6" w14:textId="77777777" w:rsidR="00826A48" w:rsidRDefault="00535D44" w:rsidP="00826A48">
      <w:pPr>
        <w:spacing w:line="280" w:lineRule="exact"/>
        <w:ind w:left="6096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к решению </w:t>
      </w:r>
    </w:p>
    <w:p w14:paraId="26BA8607" w14:textId="77777777" w:rsidR="00826A48" w:rsidRDefault="00535D44" w:rsidP="00826A48">
      <w:pPr>
        <w:spacing w:line="280" w:lineRule="exact"/>
        <w:ind w:left="6096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Кобринского районного </w:t>
      </w:r>
    </w:p>
    <w:p w14:paraId="451B0BC5" w14:textId="1BCD1C11" w:rsidR="00D179E0" w:rsidRDefault="00535D44" w:rsidP="00826A48">
      <w:pPr>
        <w:spacing w:line="280" w:lineRule="exact"/>
        <w:ind w:left="6096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исполнительного комитета </w:t>
      </w:r>
    </w:p>
    <w:p w14:paraId="3420547F" w14:textId="5DCD2C0D" w:rsidR="00D179E0" w:rsidRDefault="00356C18" w:rsidP="00356C18">
      <w:pPr>
        <w:pStyle w:val="210"/>
        <w:shd w:val="clear" w:color="auto" w:fill="auto"/>
        <w:spacing w:before="0" w:line="280" w:lineRule="exact"/>
      </w:pPr>
      <w:r>
        <w:t xml:space="preserve">              </w:t>
      </w:r>
      <w:r>
        <w:tab/>
        <w:t xml:space="preserve">                                                                  23.01.2023 № 91</w:t>
      </w:r>
    </w:p>
    <w:p w14:paraId="5756496D" w14:textId="77777777" w:rsidR="00D179E0" w:rsidRDefault="00D179E0">
      <w:pPr>
        <w:pStyle w:val="210"/>
        <w:shd w:val="clear" w:color="auto" w:fill="auto"/>
        <w:tabs>
          <w:tab w:val="left" w:pos="6804"/>
        </w:tabs>
        <w:spacing w:before="0" w:line="280" w:lineRule="exact"/>
        <w:jc w:val="center"/>
      </w:pPr>
    </w:p>
    <w:p w14:paraId="244BCAC4" w14:textId="77777777" w:rsidR="00D179E0" w:rsidRDefault="00D179E0">
      <w:pPr>
        <w:pStyle w:val="210"/>
        <w:shd w:val="clear" w:color="auto" w:fill="auto"/>
        <w:tabs>
          <w:tab w:val="left" w:pos="6804"/>
        </w:tabs>
        <w:spacing w:before="0" w:line="280" w:lineRule="exact"/>
        <w:jc w:val="center"/>
      </w:pPr>
    </w:p>
    <w:p w14:paraId="0AAE97D3" w14:textId="77777777" w:rsidR="00D179E0" w:rsidRDefault="00535D44" w:rsidP="00826A48">
      <w:pPr>
        <w:pStyle w:val="210"/>
        <w:tabs>
          <w:tab w:val="left" w:pos="6804"/>
        </w:tabs>
        <w:spacing w:before="0" w:line="280" w:lineRule="exact"/>
        <w:jc w:val="both"/>
      </w:pPr>
      <w:r>
        <w:t>ТРЕБОВАНИЯ</w:t>
      </w:r>
    </w:p>
    <w:p w14:paraId="7FC49E35" w14:textId="08F381DA" w:rsidR="00D179E0" w:rsidRDefault="00535D44" w:rsidP="00BD5D21">
      <w:pPr>
        <w:pStyle w:val="210"/>
        <w:tabs>
          <w:tab w:val="left" w:pos="6804"/>
        </w:tabs>
        <w:spacing w:before="0" w:line="280" w:lineRule="exact"/>
        <w:ind w:rightChars="1461" w:right="3506"/>
        <w:jc w:val="both"/>
      </w:pPr>
      <w:bookmarkStart w:id="1" w:name="_Hlk128383308"/>
      <w:r>
        <w:t>к размеру и (или) иным техническим характеристикам средств наружной рекламы, размещаемых на недвижимых материальных историко-культурных ценностях</w:t>
      </w:r>
      <w:r w:rsidR="000038FA">
        <w:t xml:space="preserve"> и</w:t>
      </w:r>
      <w:r>
        <w:t xml:space="preserve"> их </w:t>
      </w:r>
      <w:r w:rsidR="00BD5D21">
        <w:t>территориях, расположенных</w:t>
      </w:r>
      <w:r w:rsidR="000038FA">
        <w:t xml:space="preserve"> на территории города Кобрин</w:t>
      </w:r>
      <w:r w:rsidR="00BD5D21">
        <w:t>а</w:t>
      </w:r>
    </w:p>
    <w:bookmarkEnd w:id="1"/>
    <w:p w14:paraId="00C93C33" w14:textId="77777777" w:rsidR="00BD5D21" w:rsidRDefault="00BD5D21" w:rsidP="00BD5D21">
      <w:pPr>
        <w:pStyle w:val="210"/>
        <w:tabs>
          <w:tab w:val="left" w:pos="6804"/>
        </w:tabs>
        <w:spacing w:before="0" w:line="280" w:lineRule="exact"/>
        <w:ind w:rightChars="1461" w:right="3506"/>
        <w:jc w:val="both"/>
      </w:pPr>
    </w:p>
    <w:p w14:paraId="6B1E22E2" w14:textId="15C1DC6B" w:rsidR="00D179E0" w:rsidRDefault="00481EFD" w:rsidP="004C21CC">
      <w:pPr>
        <w:pStyle w:val="210"/>
        <w:tabs>
          <w:tab w:val="left" w:leader="dot" w:pos="284"/>
        </w:tabs>
        <w:spacing w:before="0" w:line="240" w:lineRule="auto"/>
        <w:ind w:firstLine="567"/>
        <w:jc w:val="both"/>
      </w:pPr>
      <w:r>
        <w:t>1</w:t>
      </w:r>
      <w:r w:rsidR="00BD5D21">
        <w:t>.</w:t>
      </w:r>
      <w:r w:rsidR="007722D8">
        <w:t xml:space="preserve">  </w:t>
      </w:r>
      <w:r w:rsidR="00535D44">
        <w:t>Размещаемые средства наружной рекламы не должны ухудшать условия восприятия материальной недвижимой историко-культурной ценности (памятников архитектуры): создание диссонанса</w:t>
      </w:r>
      <w:r w:rsidR="00FB09D3">
        <w:t xml:space="preserve"> (в том числе </w:t>
      </w:r>
      <w:r w:rsidR="00FB09D3" w:rsidRPr="007077F0">
        <w:rPr>
          <w:color w:val="000000" w:themeColor="text1"/>
        </w:rPr>
        <w:t>стилистического и цветового</w:t>
      </w:r>
      <w:r w:rsidR="00FB09D3">
        <w:t>)</w:t>
      </w:r>
      <w:r w:rsidR="00535D44">
        <w:t>, перекрытие элементов и деталей архитектурного декора,</w:t>
      </w:r>
      <w:r w:rsidR="00FB09D3">
        <w:t xml:space="preserve"> </w:t>
      </w:r>
      <w:r w:rsidR="00535D44">
        <w:t xml:space="preserve"> визуальное искажение (в том числе наличие множества деталей) на фасаде. </w:t>
      </w:r>
    </w:p>
    <w:p w14:paraId="09ADF2BD" w14:textId="77777777" w:rsidR="00E91380" w:rsidRDefault="00481EFD" w:rsidP="00E91380">
      <w:pPr>
        <w:pStyle w:val="210"/>
        <w:tabs>
          <w:tab w:val="left" w:pos="0"/>
          <w:tab w:val="left" w:pos="284"/>
        </w:tabs>
        <w:spacing w:before="0" w:line="240" w:lineRule="auto"/>
        <w:ind w:firstLine="567"/>
        <w:contextualSpacing/>
        <w:jc w:val="both"/>
      </w:pPr>
      <w:r>
        <w:t>2</w:t>
      </w:r>
      <w:r w:rsidR="00BD5D21">
        <w:t>.</w:t>
      </w:r>
      <w:r w:rsidR="004C21CC">
        <w:t xml:space="preserve"> </w:t>
      </w:r>
      <w:r w:rsidR="00535D44">
        <w:t>Средства</w:t>
      </w:r>
      <w:r w:rsidR="00B739B9">
        <w:t xml:space="preserve"> </w:t>
      </w:r>
      <w:r w:rsidR="00535D44">
        <w:t>наружной рекламы, размещаемые на недвижимых материальных историко-культурных ценностях</w:t>
      </w:r>
      <w:r w:rsidR="001E6E30">
        <w:t xml:space="preserve">, </w:t>
      </w:r>
      <w:r w:rsidR="00535D44">
        <w:t>их территориях выполняются в виде отдельных элементов (букв), без подосновы (подложки), высотой не более 500 мм</w:t>
      </w:r>
      <w:r>
        <w:t>.</w:t>
      </w:r>
    </w:p>
    <w:p w14:paraId="2B96B14F" w14:textId="45EBFF4C" w:rsidR="00BD5D21" w:rsidRDefault="00481EFD" w:rsidP="00E91380">
      <w:pPr>
        <w:pStyle w:val="210"/>
        <w:tabs>
          <w:tab w:val="left" w:pos="0"/>
          <w:tab w:val="left" w:pos="284"/>
        </w:tabs>
        <w:spacing w:before="0" w:line="240" w:lineRule="auto"/>
        <w:ind w:firstLine="567"/>
        <w:contextualSpacing/>
        <w:jc w:val="both"/>
      </w:pPr>
      <w:r>
        <w:t>3</w:t>
      </w:r>
      <w:r w:rsidR="00BD5D21">
        <w:t>.</w:t>
      </w:r>
      <w:r w:rsidR="007722D8">
        <w:t xml:space="preserve"> </w:t>
      </w:r>
      <w:r w:rsidR="00535D44">
        <w:t>Крепление букв рекламной конструкции может осуществляться на металлическую направляющую (</w:t>
      </w:r>
      <w:r>
        <w:t>например</w:t>
      </w:r>
      <w:r w:rsidR="00535D44">
        <w:t>: несущий каркас из профильной трубы), окрашенную в цвет фасада, которая, в свою очередь, крепится к фасаду.</w:t>
      </w:r>
    </w:p>
    <w:p w14:paraId="26CE05AA" w14:textId="2B596FB8" w:rsidR="00BD5D21" w:rsidRDefault="00481EFD" w:rsidP="004C21CC">
      <w:pPr>
        <w:pStyle w:val="210"/>
        <w:tabs>
          <w:tab w:val="left" w:leader="underscore" w:pos="142"/>
          <w:tab w:val="left" w:pos="284"/>
        </w:tabs>
        <w:spacing w:before="0" w:line="240" w:lineRule="auto"/>
        <w:ind w:firstLine="567"/>
        <w:jc w:val="both"/>
      </w:pPr>
      <w:r>
        <w:t>4</w:t>
      </w:r>
      <w:r w:rsidR="00BD5D21">
        <w:t>.</w:t>
      </w:r>
      <w:r w:rsidR="00B739B9">
        <w:t xml:space="preserve"> </w:t>
      </w:r>
      <w:r w:rsidR="00535D44">
        <w:t xml:space="preserve">Рекламные конструкции на недвижимых материальных историко-культурных ценностях, </w:t>
      </w:r>
      <w:r w:rsidR="002C39D0">
        <w:t>размещаются</w:t>
      </w:r>
      <w:r w:rsidR="00535D44">
        <w:t xml:space="preserve"> на гладких, свободных от декора и архитектурных элементов участках фасада, в </w:t>
      </w:r>
      <w:r w:rsidR="00DA185B">
        <w:t xml:space="preserve">пределах </w:t>
      </w:r>
      <w:r w:rsidR="00535D44">
        <w:t>уровн</w:t>
      </w:r>
      <w:r w:rsidR="00DA185B">
        <w:t>я</w:t>
      </w:r>
      <w:r w:rsidR="00535D44">
        <w:t xml:space="preserve"> первого этажа или между окнами первого и второго этажей.</w:t>
      </w:r>
    </w:p>
    <w:p w14:paraId="6819C50B" w14:textId="55D09EDF" w:rsidR="005B3AA5" w:rsidRDefault="00481EFD" w:rsidP="004C21CC">
      <w:pPr>
        <w:pStyle w:val="210"/>
        <w:tabs>
          <w:tab w:val="left" w:leader="underscore" w:pos="142"/>
          <w:tab w:val="left" w:pos="284"/>
        </w:tabs>
        <w:spacing w:before="0" w:line="240" w:lineRule="auto"/>
        <w:ind w:firstLine="567"/>
        <w:mirrorIndents/>
        <w:jc w:val="both"/>
      </w:pPr>
      <w:r>
        <w:t>5</w:t>
      </w:r>
      <w:r w:rsidR="00BD5D21">
        <w:t>.</w:t>
      </w:r>
      <w:r w:rsidR="00B739B9">
        <w:t xml:space="preserve"> </w:t>
      </w:r>
      <w:r w:rsidR="00535D44">
        <w:t>Размещение информационных конструкций на плоских участках фасада, свободных от декора и архитектурных элементов, осуществляется исключительно на прозрачной подоснове (оргстекле) в пределах площади внешних поверхностей объекта, соответствующей размерам занимаемых организациями, индивидуальными предпринимателями помещений.</w:t>
      </w:r>
    </w:p>
    <w:p w14:paraId="1580202C" w14:textId="39C1E11F" w:rsidR="005B3AA5" w:rsidRDefault="00481EFD" w:rsidP="00E91380">
      <w:pPr>
        <w:pStyle w:val="210"/>
        <w:tabs>
          <w:tab w:val="left" w:leader="underscore" w:pos="142"/>
          <w:tab w:val="left" w:pos="284"/>
        </w:tabs>
        <w:spacing w:before="0" w:line="240" w:lineRule="auto"/>
        <w:ind w:firstLine="567"/>
        <w:jc w:val="both"/>
      </w:pPr>
      <w:r>
        <w:t>6</w:t>
      </w:r>
      <w:r w:rsidR="005B3AA5">
        <w:t>.</w:t>
      </w:r>
      <w:r w:rsidR="00B739B9">
        <w:t xml:space="preserve"> </w:t>
      </w:r>
      <w:r w:rsidR="00535D44">
        <w:t>Максимальный размер информационных конструкций, содержащих сведения об ассортименте блюд, напитков и иных продуктов питания, предлагаемых при предоставлении услуг, в том числе с указанием их массы/объема и цены (меню), не должен превышать: по высоте – 80 см</w:t>
      </w:r>
      <w:r>
        <w:t>,</w:t>
      </w:r>
      <w:r w:rsidR="00535D44">
        <w:t xml:space="preserve"> по</w:t>
      </w:r>
      <w:r w:rsidR="00E91380" w:rsidRPr="00E91380">
        <w:t xml:space="preserve"> </w:t>
      </w:r>
      <w:r w:rsidR="00535D44">
        <w:t>ширине – 60 см.</w:t>
      </w:r>
    </w:p>
    <w:p w14:paraId="5B116F9B" w14:textId="3A44A932" w:rsidR="005B3AA5" w:rsidRDefault="00481EFD" w:rsidP="004C21CC">
      <w:pPr>
        <w:pStyle w:val="210"/>
        <w:tabs>
          <w:tab w:val="left" w:leader="underscore" w:pos="142"/>
          <w:tab w:val="left" w:pos="284"/>
        </w:tabs>
        <w:spacing w:before="0" w:line="240" w:lineRule="auto"/>
        <w:ind w:firstLine="567"/>
        <w:jc w:val="both"/>
      </w:pPr>
      <w:r>
        <w:t>7</w:t>
      </w:r>
      <w:r w:rsidR="005B3AA5">
        <w:t>.</w:t>
      </w:r>
      <w:r w:rsidR="007722D8">
        <w:t xml:space="preserve"> </w:t>
      </w:r>
      <w:r w:rsidR="00535D44">
        <w:t xml:space="preserve">При размещении на фасадах </w:t>
      </w:r>
      <w:r w:rsidR="00535D44" w:rsidRPr="00B13A1D">
        <w:rPr>
          <w:color w:val="000000" w:themeColor="text1"/>
        </w:rPr>
        <w:t>недвижимых материальных историко-</w:t>
      </w:r>
      <w:r w:rsidR="00535D44" w:rsidRPr="00B13A1D">
        <w:rPr>
          <w:color w:val="000000" w:themeColor="text1"/>
        </w:rPr>
        <w:lastRenderedPageBreak/>
        <w:t xml:space="preserve">культурных </w:t>
      </w:r>
      <w:proofErr w:type="spellStart"/>
      <w:r w:rsidR="00B13A1D" w:rsidRPr="00B13A1D">
        <w:rPr>
          <w:color w:val="000000" w:themeColor="text1"/>
        </w:rPr>
        <w:t>ценно</w:t>
      </w:r>
      <w:r w:rsidR="00B13A1D">
        <w:rPr>
          <w:color w:val="000000" w:themeColor="text1"/>
        </w:rPr>
        <w:t>с</w:t>
      </w:r>
      <w:proofErr w:type="spellEnd"/>
      <w:r w:rsidR="001F189C" w:rsidRPr="00B13A1D">
        <w:rPr>
          <w:color w:val="000000" w:themeColor="text1"/>
          <w:lang w:val="be-BY"/>
        </w:rPr>
        <w:t>тях</w:t>
      </w:r>
      <w:r w:rsidR="001F189C" w:rsidRPr="00B13A1D">
        <w:rPr>
          <w:color w:val="000000" w:themeColor="text1"/>
        </w:rPr>
        <w:t xml:space="preserve"> </w:t>
      </w:r>
      <w:r w:rsidR="00535D44">
        <w:t>одновременно нескольких средств наружной рекламы, указанные рекламные конструкции, размещаются в один высотный ряд на единой горизонтальной линии, симметрично относительно уровня основных элементов фасада (окон, витрин, входных групп и т.д.)</w:t>
      </w:r>
      <w:r>
        <w:t>.</w:t>
      </w:r>
    </w:p>
    <w:p w14:paraId="4D015CD2" w14:textId="7D2BECAC" w:rsidR="005B3AA5" w:rsidRDefault="00481EFD" w:rsidP="004C21CC">
      <w:pPr>
        <w:pStyle w:val="210"/>
        <w:tabs>
          <w:tab w:val="left" w:leader="underscore" w:pos="142"/>
          <w:tab w:val="left" w:pos="567"/>
        </w:tabs>
        <w:spacing w:before="0" w:line="240" w:lineRule="auto"/>
        <w:ind w:firstLine="567"/>
        <w:jc w:val="both"/>
      </w:pPr>
      <w:r>
        <w:t>8</w:t>
      </w:r>
      <w:r w:rsidR="005B3AA5">
        <w:t>.</w:t>
      </w:r>
      <w:r w:rsidR="007722D8">
        <w:t xml:space="preserve">  </w:t>
      </w:r>
      <w:r w:rsidR="00535D44">
        <w:t>Декоративно-художественные элементы (логотипы, товарные знаки и т.д.) необходимо выносить на кронштейны либо на выносные рекламные конструкции</w:t>
      </w:r>
      <w:r w:rsidR="001F189C">
        <w:t xml:space="preserve"> (тумбы, </w:t>
      </w:r>
      <w:proofErr w:type="spellStart"/>
      <w:r w:rsidR="001F189C">
        <w:t>штендеры</w:t>
      </w:r>
      <w:proofErr w:type="spellEnd"/>
      <w:r w:rsidR="001F189C">
        <w:t>)</w:t>
      </w:r>
      <w:r w:rsidR="00535D44">
        <w:t>.</w:t>
      </w:r>
    </w:p>
    <w:p w14:paraId="19179EA8" w14:textId="005F8273" w:rsidR="005B3AA5" w:rsidRDefault="00481EFD" w:rsidP="004C21CC">
      <w:pPr>
        <w:pStyle w:val="210"/>
        <w:tabs>
          <w:tab w:val="left" w:leader="underscore" w:pos="142"/>
          <w:tab w:val="left" w:pos="567"/>
        </w:tabs>
        <w:spacing w:before="0" w:line="240" w:lineRule="auto"/>
        <w:ind w:firstLine="567"/>
        <w:jc w:val="both"/>
      </w:pPr>
      <w:r>
        <w:t>9</w:t>
      </w:r>
      <w:r w:rsidR="005B3AA5">
        <w:t>.</w:t>
      </w:r>
      <w:r w:rsidR="007722D8">
        <w:t xml:space="preserve"> </w:t>
      </w:r>
      <w:r w:rsidR="00535D44">
        <w:t xml:space="preserve">Размеры средств наружной рекламы, размещаемых на недвижимых </w:t>
      </w:r>
      <w:r w:rsidR="00535D44" w:rsidRPr="00B13A1D">
        <w:rPr>
          <w:color w:val="000000" w:themeColor="text1"/>
        </w:rPr>
        <w:t>материальных историко-культурных ценностях</w:t>
      </w:r>
      <w:r w:rsidR="004E577E" w:rsidRPr="00B13A1D">
        <w:rPr>
          <w:color w:val="000000" w:themeColor="text1"/>
        </w:rPr>
        <w:t xml:space="preserve"> </w:t>
      </w:r>
      <w:proofErr w:type="spellStart"/>
      <w:r w:rsidR="00535D44">
        <w:t>консольно</w:t>
      </w:r>
      <w:proofErr w:type="spellEnd"/>
      <w:r w:rsidR="00535D44">
        <w:t xml:space="preserve"> (кронштейны), должны иметь размеры, не превышающие 70 см х 70 см.</w:t>
      </w:r>
    </w:p>
    <w:p w14:paraId="7B714716" w14:textId="32D78F3E" w:rsidR="005B3AA5" w:rsidRDefault="005B3AA5" w:rsidP="004C21CC">
      <w:pPr>
        <w:pStyle w:val="210"/>
        <w:tabs>
          <w:tab w:val="left" w:leader="underscore" w:pos="142"/>
          <w:tab w:val="left" w:pos="426"/>
        </w:tabs>
        <w:spacing w:before="0" w:line="240" w:lineRule="auto"/>
        <w:ind w:firstLine="567"/>
        <w:jc w:val="both"/>
      </w:pPr>
      <w:r>
        <w:t>1</w:t>
      </w:r>
      <w:r w:rsidR="00481EFD">
        <w:t>0</w:t>
      </w:r>
      <w:r>
        <w:t>.</w:t>
      </w:r>
      <w:r w:rsidR="007722D8">
        <w:t xml:space="preserve"> </w:t>
      </w:r>
      <w:r w:rsidR="00535D44">
        <w:t>Консольные конструкции располагаются в одной горизонтальной плоскости фасада, у арок, на границах и внешних углах зданий, строений, сооружений. Расстояние между консольными конструкциями должно составлять не менее 10 м. При невозможности размещения консольных конструкций с соблюдением указанного расстояния допускается размещать консольные конструкции в два и три яруса на расстоянии не менее 70 см от консольных конструкций, расположенных ниже.</w:t>
      </w:r>
    </w:p>
    <w:p w14:paraId="2DA289A4" w14:textId="7D52D0D0" w:rsidR="005B3AA5" w:rsidRDefault="005B3AA5" w:rsidP="004C21CC">
      <w:pPr>
        <w:pStyle w:val="210"/>
        <w:tabs>
          <w:tab w:val="left" w:leader="underscore" w:pos="142"/>
          <w:tab w:val="left" w:pos="567"/>
          <w:tab w:val="left" w:pos="709"/>
        </w:tabs>
        <w:spacing w:before="0" w:line="240" w:lineRule="auto"/>
        <w:ind w:firstLine="567"/>
        <w:jc w:val="both"/>
      </w:pPr>
      <w:r>
        <w:t>1</w:t>
      </w:r>
      <w:r w:rsidR="00481EFD">
        <w:t>1</w:t>
      </w:r>
      <w:r>
        <w:t>.</w:t>
      </w:r>
      <w:r w:rsidR="007722D8">
        <w:t xml:space="preserve"> </w:t>
      </w:r>
      <w:r w:rsidR="00535D44">
        <w:t xml:space="preserve">Расстояние от уровня земли до нижнего края консольной конструкции должно быть не менее 2,5 м. </w:t>
      </w:r>
    </w:p>
    <w:p w14:paraId="52D773F9" w14:textId="44048ABE" w:rsidR="005B3AA5" w:rsidRDefault="005B3AA5" w:rsidP="004C21CC">
      <w:pPr>
        <w:pStyle w:val="210"/>
        <w:tabs>
          <w:tab w:val="left" w:leader="underscore" w:pos="567"/>
        </w:tabs>
        <w:spacing w:before="0" w:line="240" w:lineRule="auto"/>
        <w:ind w:firstLine="567"/>
        <w:jc w:val="both"/>
      </w:pPr>
      <w:r>
        <w:t>1</w:t>
      </w:r>
      <w:r w:rsidR="00481EFD">
        <w:t>2</w:t>
      </w:r>
      <w:r>
        <w:t>.</w:t>
      </w:r>
      <w:r w:rsidR="007722D8">
        <w:t xml:space="preserve">  </w:t>
      </w:r>
      <w:r w:rsidR="00535D44">
        <w:t>Консольная конструкция не должна находиться на расстоянии более чем 20 см от плоскости фасада (с учетом элементов крепления), а крайняя точка ее лицевой стороны – на расстоянии не более чем 90 см от плоскости фасада.</w:t>
      </w:r>
    </w:p>
    <w:p w14:paraId="74F839AF" w14:textId="7A287D6D" w:rsidR="005B3AA5" w:rsidRDefault="005B3AA5" w:rsidP="004C21CC">
      <w:pPr>
        <w:pStyle w:val="210"/>
        <w:tabs>
          <w:tab w:val="left" w:leader="underscore" w:pos="142"/>
          <w:tab w:val="left" w:pos="284"/>
        </w:tabs>
        <w:spacing w:before="0" w:line="240" w:lineRule="auto"/>
        <w:ind w:firstLine="567"/>
        <w:jc w:val="both"/>
      </w:pPr>
      <w:r>
        <w:t>1</w:t>
      </w:r>
      <w:r w:rsidR="00481EFD">
        <w:t>3</w:t>
      </w:r>
      <w:r>
        <w:t>.</w:t>
      </w:r>
      <w:r w:rsidR="007722D8">
        <w:t xml:space="preserve"> </w:t>
      </w:r>
      <w:r w:rsidR="00535D44">
        <w:t xml:space="preserve">В случае </w:t>
      </w:r>
      <w:r w:rsidR="00F67EB7">
        <w:t>расположения</w:t>
      </w:r>
      <w:r w:rsidR="00535D44">
        <w:t xml:space="preserve"> </w:t>
      </w:r>
      <w:r w:rsidR="00481EFD">
        <w:t>торговых объектов и</w:t>
      </w:r>
      <w:r w:rsidR="00535D44">
        <w:t xml:space="preserve"> (или) </w:t>
      </w:r>
      <w:r w:rsidR="00481EFD">
        <w:t xml:space="preserve">объектов </w:t>
      </w:r>
      <w:r w:rsidR="00535D44">
        <w:t xml:space="preserve">общественного питания в подвальных или цокольных этажах </w:t>
      </w:r>
      <w:r w:rsidR="00535D44" w:rsidRPr="00B13A1D">
        <w:rPr>
          <w:color w:val="000000" w:themeColor="text1"/>
        </w:rPr>
        <w:t>материальных недвижимых историко-культурных ценностей,</w:t>
      </w:r>
      <w:r w:rsidR="004E577E" w:rsidRPr="00B13A1D">
        <w:rPr>
          <w:color w:val="000000" w:themeColor="text1"/>
        </w:rPr>
        <w:t xml:space="preserve"> </w:t>
      </w:r>
      <w:r w:rsidR="00F67EB7">
        <w:rPr>
          <w:color w:val="000000" w:themeColor="text1"/>
        </w:rPr>
        <w:t xml:space="preserve">допускается размещение </w:t>
      </w:r>
      <w:r w:rsidR="00535D44">
        <w:t>средств наружной рекламы над окнами подвального или цокольного этажа.</w:t>
      </w:r>
    </w:p>
    <w:p w14:paraId="102520C6" w14:textId="5CC47B6A" w:rsidR="005B3AA5" w:rsidRDefault="005B3AA5" w:rsidP="004C21CC">
      <w:pPr>
        <w:pStyle w:val="210"/>
        <w:tabs>
          <w:tab w:val="left" w:leader="underscore" w:pos="142"/>
          <w:tab w:val="left" w:pos="284"/>
        </w:tabs>
        <w:spacing w:before="0" w:line="240" w:lineRule="auto"/>
        <w:ind w:firstLine="567"/>
        <w:jc w:val="both"/>
      </w:pPr>
      <w:r>
        <w:t>1</w:t>
      </w:r>
      <w:r w:rsidR="00481EFD">
        <w:t>4</w:t>
      </w:r>
      <w:r>
        <w:t>.</w:t>
      </w:r>
      <w:r w:rsidR="007722D8">
        <w:t xml:space="preserve"> </w:t>
      </w:r>
      <w:r w:rsidR="00CE423F">
        <w:t xml:space="preserve">Не допускается </w:t>
      </w:r>
      <w:r w:rsidR="00535D44">
        <w:t>размещение на недвижимых материальных историко-культурных ценностях настенных конструкций и баннеров</w:t>
      </w:r>
      <w:r w:rsidR="00096568">
        <w:t xml:space="preserve">, </w:t>
      </w:r>
      <w:proofErr w:type="spellStart"/>
      <w:r w:rsidR="00096568">
        <w:t>лайтпостеров</w:t>
      </w:r>
      <w:proofErr w:type="spellEnd"/>
      <w:r w:rsidR="00096568">
        <w:t>, электронных табло, мультимедийных</w:t>
      </w:r>
      <w:r w:rsidR="00481EFD">
        <w:t xml:space="preserve"> рекламных</w:t>
      </w:r>
      <w:r w:rsidR="00096568">
        <w:t xml:space="preserve"> конструкций.</w:t>
      </w:r>
    </w:p>
    <w:p w14:paraId="6A5CB7FC" w14:textId="62D0C3A4" w:rsidR="00D179E0" w:rsidRDefault="005B3AA5" w:rsidP="004C21CC">
      <w:pPr>
        <w:pStyle w:val="210"/>
        <w:tabs>
          <w:tab w:val="left" w:leader="underscore" w:pos="142"/>
          <w:tab w:val="left" w:pos="284"/>
        </w:tabs>
        <w:spacing w:before="0" w:line="240" w:lineRule="auto"/>
        <w:ind w:firstLine="567"/>
        <w:jc w:val="both"/>
      </w:pPr>
      <w:r>
        <w:t>1</w:t>
      </w:r>
      <w:r w:rsidR="00481EFD">
        <w:t>5</w:t>
      </w:r>
      <w:r>
        <w:t>.</w:t>
      </w:r>
      <w:r w:rsidR="007722D8">
        <w:t xml:space="preserve"> </w:t>
      </w:r>
      <w:r w:rsidR="00535D44">
        <w:t xml:space="preserve">При отсутствии возможности размещения вывески на фасадной части здания (сооружения) без создания препятствия для визуального восприятия объемно-пространственных особенностей, элементов и деталей архитектурного декора недвижимых </w:t>
      </w:r>
      <w:r w:rsidR="00535D44" w:rsidRPr="00B13A1D">
        <w:rPr>
          <w:color w:val="000000" w:themeColor="text1"/>
        </w:rPr>
        <w:t>материальных историко-культурных ценностей</w:t>
      </w:r>
      <w:r w:rsidR="00B13A1D" w:rsidRPr="00B13A1D">
        <w:rPr>
          <w:color w:val="000000" w:themeColor="text1"/>
        </w:rPr>
        <w:t xml:space="preserve">, </w:t>
      </w:r>
      <w:r w:rsidR="00535D44" w:rsidRPr="00B13A1D">
        <w:rPr>
          <w:color w:val="000000" w:themeColor="text1"/>
        </w:rPr>
        <w:t xml:space="preserve">возможно </w:t>
      </w:r>
      <w:r w:rsidR="00535D44">
        <w:t>размещение вывесок путем покрытия декоративными пленками поверхности остекления, выполненными на прозрачной подоснове либо отдельными буквами, при условии исключения  диссонанса стилистического и  цветового решения и шрифта текста с общим цветовым решением и стилем историко-культурных ценностей:</w:t>
      </w:r>
    </w:p>
    <w:p w14:paraId="020B26A0" w14:textId="77777777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в арочных оконных проемах в пределах их полуциркульной части;</w:t>
      </w:r>
    </w:p>
    <w:p w14:paraId="00D58712" w14:textId="2D47E9BC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в основной части оконного проема, не превышая 50</w:t>
      </w:r>
      <w:r w:rsidR="005B3AA5">
        <w:t xml:space="preserve"> процентов</w:t>
      </w:r>
      <w:r>
        <w:t xml:space="preserve"> от </w:t>
      </w:r>
      <w:r>
        <w:lastRenderedPageBreak/>
        <w:t>площади остекления проема.</w:t>
      </w:r>
    </w:p>
    <w:p w14:paraId="5B3CC835" w14:textId="0FB8BED1" w:rsidR="005B3AA5" w:rsidRDefault="00826A48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Д</w:t>
      </w:r>
      <w:r w:rsidR="00535D44">
        <w:t xml:space="preserve">опускается размещение вывесок в верхней части остекления дверных проемов входных групп в торговые объекты или </w:t>
      </w:r>
      <w:r w:rsidR="00481EFD">
        <w:t>объектов общественного питания</w:t>
      </w:r>
      <w:r w:rsidR="00535D44">
        <w:t xml:space="preserve"> с использованием несущих конструкций.</w:t>
      </w:r>
    </w:p>
    <w:p w14:paraId="44F9BFB2" w14:textId="64380C07" w:rsidR="00970E44" w:rsidRPr="007077F0" w:rsidRDefault="005B3AA5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  <w:rPr>
          <w:color w:val="000000" w:themeColor="text1"/>
        </w:rPr>
      </w:pPr>
      <w:r w:rsidRPr="007077F0">
        <w:rPr>
          <w:color w:val="000000" w:themeColor="text1"/>
        </w:rPr>
        <w:t>1</w:t>
      </w:r>
      <w:r w:rsidR="00481EFD" w:rsidRPr="007077F0">
        <w:rPr>
          <w:color w:val="000000" w:themeColor="text1"/>
        </w:rPr>
        <w:t>6</w:t>
      </w:r>
      <w:r w:rsidRPr="007077F0">
        <w:rPr>
          <w:color w:val="000000" w:themeColor="text1"/>
        </w:rPr>
        <w:t>.</w:t>
      </w:r>
      <w:r w:rsidR="007077F0">
        <w:rPr>
          <w:color w:val="000000" w:themeColor="text1"/>
        </w:rPr>
        <w:t xml:space="preserve"> Не допускается размещение с</w:t>
      </w:r>
      <w:r w:rsidR="00535D44" w:rsidRPr="007077F0">
        <w:rPr>
          <w:color w:val="000000" w:themeColor="text1"/>
        </w:rPr>
        <w:t>редств наружной рекламы</w:t>
      </w:r>
      <w:r w:rsidR="00970E44" w:rsidRPr="007077F0">
        <w:rPr>
          <w:color w:val="000000" w:themeColor="text1"/>
        </w:rPr>
        <w:t xml:space="preserve"> </w:t>
      </w:r>
      <w:r w:rsidR="00535D44" w:rsidRPr="007077F0">
        <w:rPr>
          <w:color w:val="000000" w:themeColor="text1"/>
        </w:rPr>
        <w:t>на лоджиях, балконах, выступающих фигурных элементах фасадов, пилястрах, фигурных карнизах, с перекрытием архитектурных деталей и элементов недвижимых материальных историко-культурных ценностей</w:t>
      </w:r>
      <w:r w:rsidR="00FB09D3" w:rsidRPr="007077F0">
        <w:rPr>
          <w:color w:val="000000" w:themeColor="text1"/>
        </w:rPr>
        <w:t xml:space="preserve"> </w:t>
      </w:r>
      <w:r w:rsidR="00535D44" w:rsidRPr="007077F0">
        <w:rPr>
          <w:color w:val="000000" w:themeColor="text1"/>
        </w:rPr>
        <w:t>(карнизов, фризов, порталов, поясков, обрамлений и др.)</w:t>
      </w:r>
      <w:r w:rsidR="00970E44" w:rsidRPr="007077F0">
        <w:rPr>
          <w:color w:val="000000" w:themeColor="text1"/>
        </w:rPr>
        <w:t>.</w:t>
      </w:r>
    </w:p>
    <w:p w14:paraId="21698575" w14:textId="0A9BE4D0" w:rsidR="004C21CC" w:rsidRPr="007077F0" w:rsidRDefault="00970E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  <w:rPr>
          <w:color w:val="000000" w:themeColor="text1"/>
        </w:rPr>
      </w:pPr>
      <w:r w:rsidRPr="007077F0">
        <w:rPr>
          <w:color w:val="000000" w:themeColor="text1"/>
        </w:rPr>
        <w:t xml:space="preserve">Средства наружной рекламы на материальных недвижимых историко-культурных ценностях размещаются </w:t>
      </w:r>
      <w:r w:rsidR="00535D44" w:rsidRPr="007077F0">
        <w:rPr>
          <w:color w:val="000000" w:themeColor="text1"/>
        </w:rPr>
        <w:t xml:space="preserve">на расстоянии </w:t>
      </w:r>
      <w:r w:rsidR="001F189C" w:rsidRPr="007077F0">
        <w:rPr>
          <w:color w:val="000000" w:themeColor="text1"/>
        </w:rPr>
        <w:t>1</w:t>
      </w:r>
      <w:r w:rsidR="00535D44" w:rsidRPr="007077F0">
        <w:rPr>
          <w:color w:val="000000" w:themeColor="text1"/>
        </w:rPr>
        <w:t xml:space="preserve"> м от </w:t>
      </w:r>
      <w:r w:rsidRPr="007077F0">
        <w:rPr>
          <w:color w:val="000000" w:themeColor="text1"/>
        </w:rPr>
        <w:t>охранных досок</w:t>
      </w:r>
      <w:r w:rsidR="00EE66FD" w:rsidRPr="007077F0">
        <w:rPr>
          <w:color w:val="000000" w:themeColor="text1"/>
        </w:rPr>
        <w:t xml:space="preserve">, объектов монументально-декоративного </w:t>
      </w:r>
      <w:r w:rsidRPr="007077F0">
        <w:rPr>
          <w:color w:val="000000" w:themeColor="text1"/>
        </w:rPr>
        <w:t>искусства, указателей</w:t>
      </w:r>
      <w:r w:rsidR="00535D44" w:rsidRPr="007077F0">
        <w:rPr>
          <w:color w:val="000000" w:themeColor="text1"/>
        </w:rPr>
        <w:t xml:space="preserve"> наименований улиц, номеров дом</w:t>
      </w:r>
      <w:r w:rsidR="004C21CC" w:rsidRPr="007077F0">
        <w:rPr>
          <w:color w:val="000000" w:themeColor="text1"/>
        </w:rPr>
        <w:t xml:space="preserve">ов. </w:t>
      </w:r>
    </w:p>
    <w:p w14:paraId="36E52371" w14:textId="234E3DB6" w:rsidR="00D179E0" w:rsidRDefault="004C21CC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1</w:t>
      </w:r>
      <w:r w:rsidR="00481EFD">
        <w:t>7</w:t>
      </w:r>
      <w:r>
        <w:t xml:space="preserve">. </w:t>
      </w:r>
      <w:r w:rsidR="00535D44">
        <w:t>Средства наружной рекламы, размещаемые на территориях недвижимых материальных историко-культурных ценностей, в том числе материальной недвижимой историко-культурной ценности «Исторический центр города Кобрина</w:t>
      </w:r>
      <w:r w:rsidR="00481EFD">
        <w:t>», выполняются</w:t>
      </w:r>
      <w:r w:rsidR="00535D44">
        <w:t xml:space="preserve"> в следующих размерах:</w:t>
      </w:r>
    </w:p>
    <w:p w14:paraId="0F8D6C90" w14:textId="77777777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proofErr w:type="spellStart"/>
      <w:r>
        <w:t>лайтпостеры</w:t>
      </w:r>
      <w:proofErr w:type="spellEnd"/>
      <w:r>
        <w:t>, пилоны – 1,8 х 1,2 м;</w:t>
      </w:r>
    </w:p>
    <w:p w14:paraId="3F8A80DE" w14:textId="771593AF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средства наружной рекламы, размещаемые на остановочных пунктах общественного транспорта</w:t>
      </w:r>
      <w:r w:rsidR="00481EFD">
        <w:t>,</w:t>
      </w:r>
      <w:r>
        <w:t xml:space="preserve"> – 1,85 х 1 м;</w:t>
      </w:r>
    </w:p>
    <w:p w14:paraId="3F7E9319" w14:textId="58029B88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средства наружной рекламы, размещаемые на опорах инженерных коммуникаций</w:t>
      </w:r>
      <w:r w:rsidR="00481EFD">
        <w:t>,</w:t>
      </w:r>
      <w:r>
        <w:t xml:space="preserve"> </w:t>
      </w:r>
      <w:bookmarkStart w:id="2" w:name="_Hlk124519829"/>
      <w:r>
        <w:t>–</w:t>
      </w:r>
      <w:bookmarkEnd w:id="2"/>
      <w:r>
        <w:t xml:space="preserve"> 1,2 х 0,8 м;</w:t>
      </w:r>
    </w:p>
    <w:p w14:paraId="26A205FC" w14:textId="315ABBE1" w:rsidR="005B3AA5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 xml:space="preserve">щиты, </w:t>
      </w:r>
      <w:proofErr w:type="spellStart"/>
      <w:r>
        <w:t>призматроны</w:t>
      </w:r>
      <w:proofErr w:type="spellEnd"/>
      <w:r>
        <w:t xml:space="preserve">, мультимедийные рекламные </w:t>
      </w:r>
      <w:r w:rsidR="005B3AA5">
        <w:t xml:space="preserve">конструкции </w:t>
      </w:r>
      <w:r w:rsidR="005B3AA5" w:rsidRPr="005B3AA5">
        <w:t>–</w:t>
      </w:r>
      <w:r w:rsidR="005B3AA5">
        <w:t xml:space="preserve"> </w:t>
      </w:r>
      <w:r w:rsidR="007722D8">
        <w:t xml:space="preserve">                            </w:t>
      </w:r>
      <w:r w:rsidR="005B3AA5">
        <w:t>3</w:t>
      </w:r>
      <w:r>
        <w:t xml:space="preserve"> х 6 м</w:t>
      </w:r>
      <w:r w:rsidR="005B3AA5">
        <w:t>.</w:t>
      </w:r>
    </w:p>
    <w:p w14:paraId="27F81B13" w14:textId="00A264E2" w:rsidR="004C21CC" w:rsidRDefault="00481EFD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18</w:t>
      </w:r>
      <w:r w:rsidR="005B3AA5">
        <w:t>.</w:t>
      </w:r>
      <w:r w:rsidR="007722D8">
        <w:t xml:space="preserve"> </w:t>
      </w:r>
      <w:r w:rsidR="00535D44">
        <w:t>Средства наружной рекламы должны иметь состояние:</w:t>
      </w:r>
    </w:p>
    <w:p w14:paraId="4168FBB3" w14:textId="77777777" w:rsidR="004C21CC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целостность рекламной конструкции;</w:t>
      </w:r>
    </w:p>
    <w:p w14:paraId="7FFC8D54" w14:textId="77777777" w:rsidR="004C21CC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отсутствие механических повреждений;</w:t>
      </w:r>
    </w:p>
    <w:p w14:paraId="25912DB6" w14:textId="77777777" w:rsidR="004C21CC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отсутствие порывов рекламных полотен;</w:t>
      </w:r>
    </w:p>
    <w:p w14:paraId="5B0DEBB7" w14:textId="624FAC48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наличие окрашенного каркаса;</w:t>
      </w:r>
    </w:p>
    <w:p w14:paraId="4018BAAD" w14:textId="77777777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отсутствие ржавчины и грязи на всех частях и элементах рекламных конструкций;</w:t>
      </w:r>
    </w:p>
    <w:p w14:paraId="0FBE479B" w14:textId="77777777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14:paraId="11CDC719" w14:textId="24DB1AE4" w:rsidR="00D179E0" w:rsidRDefault="00535D44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подсвет рекламных конструкций в темное время суток.</w:t>
      </w:r>
    </w:p>
    <w:p w14:paraId="425B8550" w14:textId="4FE989EC" w:rsidR="005B3AA5" w:rsidRDefault="00481EFD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19</w:t>
      </w:r>
      <w:r w:rsidR="005B3AA5">
        <w:t>.</w:t>
      </w:r>
      <w:r w:rsidR="007722D8">
        <w:t xml:space="preserve"> </w:t>
      </w:r>
      <w:r w:rsidR="00EE66FD">
        <w:t>Кабели питания световых элементов средств наружной рекламы, монтируются в короба, окрашенные в цвет фасада или прикреплены таким образом, чтобы быть незаметными для пешеходов.</w:t>
      </w:r>
    </w:p>
    <w:p w14:paraId="19A84A16" w14:textId="0504718D" w:rsidR="00EE66FD" w:rsidRDefault="005B3AA5" w:rsidP="004C21CC">
      <w:pPr>
        <w:pStyle w:val="210"/>
        <w:tabs>
          <w:tab w:val="left" w:pos="567"/>
        </w:tabs>
        <w:spacing w:before="0" w:line="240" w:lineRule="auto"/>
        <w:ind w:firstLine="567"/>
        <w:jc w:val="both"/>
      </w:pPr>
      <w:r>
        <w:t>2</w:t>
      </w:r>
      <w:r w:rsidR="00481EFD">
        <w:t>0</w:t>
      </w:r>
      <w:r>
        <w:t>.</w:t>
      </w:r>
      <w:r w:rsidR="007722D8">
        <w:t xml:space="preserve"> </w:t>
      </w:r>
      <w:r w:rsidR="00EE66FD">
        <w:t>Не допускается искажение линий существующей архитектурной подсветки памятников архитектуры в ночное время подсветкой средств наружной рекламы.</w:t>
      </w:r>
    </w:p>
    <w:p w14:paraId="76860637" w14:textId="77777777" w:rsidR="00D179E0" w:rsidRDefault="00D179E0">
      <w:pPr>
        <w:tabs>
          <w:tab w:val="left" w:pos="6804"/>
        </w:tabs>
        <w:spacing w:line="280" w:lineRule="exact"/>
        <w:jc w:val="both"/>
        <w:rPr>
          <w:rFonts w:ascii="Times New Roman" w:hAnsi="Times New Roman"/>
          <w:sz w:val="18"/>
          <w:szCs w:val="18"/>
        </w:rPr>
      </w:pPr>
    </w:p>
    <w:sectPr w:rsidR="00D179E0" w:rsidSect="00E91380">
      <w:headerReference w:type="default" r:id="rId10"/>
      <w:pgSz w:w="11900" w:h="16840"/>
      <w:pgMar w:top="1134" w:right="454" w:bottom="1134" w:left="1701" w:header="56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82A8" w14:textId="77777777" w:rsidR="00606470" w:rsidRDefault="00606470"/>
  </w:endnote>
  <w:endnote w:type="continuationSeparator" w:id="0">
    <w:p w14:paraId="5EB96CFE" w14:textId="77777777" w:rsidR="00606470" w:rsidRDefault="00606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A3C1" w14:textId="77777777" w:rsidR="00606470" w:rsidRDefault="00606470"/>
  </w:footnote>
  <w:footnote w:type="continuationSeparator" w:id="0">
    <w:p w14:paraId="4DE40A4E" w14:textId="77777777" w:rsidR="00606470" w:rsidRDefault="00606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F3A5" w14:textId="1C7702ED" w:rsidR="00E91380" w:rsidRDefault="00E91380">
    <w:pPr>
      <w:pStyle w:val="a7"/>
      <w:jc w:val="center"/>
    </w:pPr>
  </w:p>
  <w:p w14:paraId="008D75B2" w14:textId="77777777" w:rsidR="00E91380" w:rsidRDefault="00E913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BAEB" w14:textId="6BF082FC" w:rsidR="00E91380" w:rsidRDefault="00E91380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78598"/>
      <w:docPartObj>
        <w:docPartGallery w:val="Page Numbers (Top of Page)"/>
        <w:docPartUnique/>
      </w:docPartObj>
    </w:sdtPr>
    <w:sdtEndPr/>
    <w:sdtContent>
      <w:p w14:paraId="2EA57B72" w14:textId="77777777" w:rsidR="00E91380" w:rsidRDefault="00E91380">
        <w:pPr>
          <w:pStyle w:val="a7"/>
          <w:jc w:val="center"/>
        </w:pPr>
        <w:r w:rsidRPr="00E913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13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13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2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913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00876"/>
    <w:multiLevelType w:val="multilevel"/>
    <w:tmpl w:val="0800087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213A5E42"/>
    <w:multiLevelType w:val="hybridMultilevel"/>
    <w:tmpl w:val="BE4294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83663"/>
    <w:multiLevelType w:val="multilevel"/>
    <w:tmpl w:val="5AA83663"/>
    <w:lvl w:ilvl="0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71028710">
    <w:abstractNumId w:val="0"/>
  </w:num>
  <w:num w:numId="2" w16cid:durableId="1428504927">
    <w:abstractNumId w:val="1"/>
  </w:num>
  <w:num w:numId="3" w16cid:durableId="1129275407">
    <w:abstractNumId w:val="3"/>
  </w:num>
  <w:num w:numId="4" w16cid:durableId="157380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42"/>
  <w:drawingGridHorizontalSpacing w:val="181"/>
  <w:drawingGridVerticalSpacing w:val="181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ED"/>
    <w:rsid w:val="00001551"/>
    <w:rsid w:val="000038FA"/>
    <w:rsid w:val="0000620F"/>
    <w:rsid w:val="00031B7A"/>
    <w:rsid w:val="00042A9C"/>
    <w:rsid w:val="00043C45"/>
    <w:rsid w:val="000613F5"/>
    <w:rsid w:val="00072EE4"/>
    <w:rsid w:val="000942D4"/>
    <w:rsid w:val="00096568"/>
    <w:rsid w:val="000A273D"/>
    <w:rsid w:val="000A7289"/>
    <w:rsid w:val="000A7A6C"/>
    <w:rsid w:val="000B0CBD"/>
    <w:rsid w:val="000B57AF"/>
    <w:rsid w:val="000B57D0"/>
    <w:rsid w:val="000D14D0"/>
    <w:rsid w:val="000D626C"/>
    <w:rsid w:val="000E4D54"/>
    <w:rsid w:val="000F34AD"/>
    <w:rsid w:val="000F735A"/>
    <w:rsid w:val="001146E6"/>
    <w:rsid w:val="001252FE"/>
    <w:rsid w:val="001331DE"/>
    <w:rsid w:val="00133F91"/>
    <w:rsid w:val="00134BBE"/>
    <w:rsid w:val="001447EB"/>
    <w:rsid w:val="00166DBA"/>
    <w:rsid w:val="00187279"/>
    <w:rsid w:val="001B2F8A"/>
    <w:rsid w:val="001C6745"/>
    <w:rsid w:val="001E4802"/>
    <w:rsid w:val="001E6E30"/>
    <w:rsid w:val="001F189C"/>
    <w:rsid w:val="001F4E81"/>
    <w:rsid w:val="0021495C"/>
    <w:rsid w:val="00245275"/>
    <w:rsid w:val="00257A89"/>
    <w:rsid w:val="00262F85"/>
    <w:rsid w:val="00267C20"/>
    <w:rsid w:val="00290D98"/>
    <w:rsid w:val="002971D1"/>
    <w:rsid w:val="002B0C49"/>
    <w:rsid w:val="002C39D0"/>
    <w:rsid w:val="002D2314"/>
    <w:rsid w:val="002D7B9A"/>
    <w:rsid w:val="002F4F4A"/>
    <w:rsid w:val="00333B60"/>
    <w:rsid w:val="00352C66"/>
    <w:rsid w:val="00356C18"/>
    <w:rsid w:val="00362608"/>
    <w:rsid w:val="00371B73"/>
    <w:rsid w:val="00376D71"/>
    <w:rsid w:val="0038254F"/>
    <w:rsid w:val="00384EE8"/>
    <w:rsid w:val="00390123"/>
    <w:rsid w:val="0039775C"/>
    <w:rsid w:val="003A5D73"/>
    <w:rsid w:val="003C5917"/>
    <w:rsid w:val="003D4387"/>
    <w:rsid w:val="003D5D39"/>
    <w:rsid w:val="003D6B62"/>
    <w:rsid w:val="003E6554"/>
    <w:rsid w:val="003E6FB0"/>
    <w:rsid w:val="003F7D70"/>
    <w:rsid w:val="00402B25"/>
    <w:rsid w:val="00407D90"/>
    <w:rsid w:val="00421EF0"/>
    <w:rsid w:val="00422B7B"/>
    <w:rsid w:val="00422E28"/>
    <w:rsid w:val="00462001"/>
    <w:rsid w:val="00472C18"/>
    <w:rsid w:val="00481EFD"/>
    <w:rsid w:val="00496079"/>
    <w:rsid w:val="00496450"/>
    <w:rsid w:val="00496EC0"/>
    <w:rsid w:val="004A150C"/>
    <w:rsid w:val="004B7B3A"/>
    <w:rsid w:val="004B7F80"/>
    <w:rsid w:val="004C21CC"/>
    <w:rsid w:val="004C4A5E"/>
    <w:rsid w:val="004D511E"/>
    <w:rsid w:val="004E291C"/>
    <w:rsid w:val="004E577E"/>
    <w:rsid w:val="004F36D7"/>
    <w:rsid w:val="004F3DDD"/>
    <w:rsid w:val="004F5531"/>
    <w:rsid w:val="00512D01"/>
    <w:rsid w:val="005204E4"/>
    <w:rsid w:val="005207F8"/>
    <w:rsid w:val="00522FAB"/>
    <w:rsid w:val="00535D44"/>
    <w:rsid w:val="00545740"/>
    <w:rsid w:val="00546E5C"/>
    <w:rsid w:val="00563256"/>
    <w:rsid w:val="005679A8"/>
    <w:rsid w:val="005720A3"/>
    <w:rsid w:val="00584EAF"/>
    <w:rsid w:val="0059196C"/>
    <w:rsid w:val="005A2F6B"/>
    <w:rsid w:val="005A411E"/>
    <w:rsid w:val="005B3AA5"/>
    <w:rsid w:val="005B4179"/>
    <w:rsid w:val="005B4C90"/>
    <w:rsid w:val="005B62E0"/>
    <w:rsid w:val="005F7339"/>
    <w:rsid w:val="00606470"/>
    <w:rsid w:val="00606755"/>
    <w:rsid w:val="00615525"/>
    <w:rsid w:val="00616197"/>
    <w:rsid w:val="00620FB7"/>
    <w:rsid w:val="00632346"/>
    <w:rsid w:val="00641D2F"/>
    <w:rsid w:val="00645BC6"/>
    <w:rsid w:val="0066782C"/>
    <w:rsid w:val="006702E4"/>
    <w:rsid w:val="00672B5A"/>
    <w:rsid w:val="00681197"/>
    <w:rsid w:val="0069343B"/>
    <w:rsid w:val="006A4721"/>
    <w:rsid w:val="006B4001"/>
    <w:rsid w:val="006B4091"/>
    <w:rsid w:val="006C2E65"/>
    <w:rsid w:val="006C331B"/>
    <w:rsid w:val="006D1519"/>
    <w:rsid w:val="006D6D2C"/>
    <w:rsid w:val="006D7804"/>
    <w:rsid w:val="007014C7"/>
    <w:rsid w:val="007077F0"/>
    <w:rsid w:val="0071299A"/>
    <w:rsid w:val="007316C0"/>
    <w:rsid w:val="00731D33"/>
    <w:rsid w:val="007320A7"/>
    <w:rsid w:val="00735A0E"/>
    <w:rsid w:val="00742328"/>
    <w:rsid w:val="00743D01"/>
    <w:rsid w:val="00743E65"/>
    <w:rsid w:val="00762FC2"/>
    <w:rsid w:val="007674DE"/>
    <w:rsid w:val="007722D8"/>
    <w:rsid w:val="00773BEB"/>
    <w:rsid w:val="00774BD3"/>
    <w:rsid w:val="00775B82"/>
    <w:rsid w:val="007A55AF"/>
    <w:rsid w:val="007B08E0"/>
    <w:rsid w:val="007E207E"/>
    <w:rsid w:val="007E309D"/>
    <w:rsid w:val="007F16D4"/>
    <w:rsid w:val="007F744A"/>
    <w:rsid w:val="008025DC"/>
    <w:rsid w:val="008027F4"/>
    <w:rsid w:val="00804888"/>
    <w:rsid w:val="00826A48"/>
    <w:rsid w:val="008307E9"/>
    <w:rsid w:val="0083274B"/>
    <w:rsid w:val="00832ABC"/>
    <w:rsid w:val="00835B72"/>
    <w:rsid w:val="00842A6B"/>
    <w:rsid w:val="00847206"/>
    <w:rsid w:val="0086103C"/>
    <w:rsid w:val="00871D40"/>
    <w:rsid w:val="00876205"/>
    <w:rsid w:val="008771DE"/>
    <w:rsid w:val="00885A0B"/>
    <w:rsid w:val="008A0346"/>
    <w:rsid w:val="008A1B41"/>
    <w:rsid w:val="008C232D"/>
    <w:rsid w:val="008E37E5"/>
    <w:rsid w:val="008E43E9"/>
    <w:rsid w:val="008F66ED"/>
    <w:rsid w:val="00902BD3"/>
    <w:rsid w:val="00903167"/>
    <w:rsid w:val="00926DD2"/>
    <w:rsid w:val="00926F73"/>
    <w:rsid w:val="00951356"/>
    <w:rsid w:val="00954E6D"/>
    <w:rsid w:val="00955244"/>
    <w:rsid w:val="0096169C"/>
    <w:rsid w:val="009662F2"/>
    <w:rsid w:val="00970E44"/>
    <w:rsid w:val="0098222B"/>
    <w:rsid w:val="00990BC1"/>
    <w:rsid w:val="009A1A91"/>
    <w:rsid w:val="009A569F"/>
    <w:rsid w:val="009A7DF3"/>
    <w:rsid w:val="009B565E"/>
    <w:rsid w:val="009E5EB6"/>
    <w:rsid w:val="009E6967"/>
    <w:rsid w:val="009F1A81"/>
    <w:rsid w:val="009F7B4F"/>
    <w:rsid w:val="00A12EE4"/>
    <w:rsid w:val="00A165B7"/>
    <w:rsid w:val="00A305A1"/>
    <w:rsid w:val="00A45A9C"/>
    <w:rsid w:val="00A46970"/>
    <w:rsid w:val="00A46E3A"/>
    <w:rsid w:val="00A53C04"/>
    <w:rsid w:val="00A6282C"/>
    <w:rsid w:val="00A66342"/>
    <w:rsid w:val="00A7162F"/>
    <w:rsid w:val="00A92ACB"/>
    <w:rsid w:val="00AA79D1"/>
    <w:rsid w:val="00AD5A68"/>
    <w:rsid w:val="00AE648B"/>
    <w:rsid w:val="00AF6409"/>
    <w:rsid w:val="00AF765A"/>
    <w:rsid w:val="00B020FA"/>
    <w:rsid w:val="00B06609"/>
    <w:rsid w:val="00B07F40"/>
    <w:rsid w:val="00B13A1D"/>
    <w:rsid w:val="00B14450"/>
    <w:rsid w:val="00B152F4"/>
    <w:rsid w:val="00B1717A"/>
    <w:rsid w:val="00B32B85"/>
    <w:rsid w:val="00B34416"/>
    <w:rsid w:val="00B4013F"/>
    <w:rsid w:val="00B46ABA"/>
    <w:rsid w:val="00B66348"/>
    <w:rsid w:val="00B739B9"/>
    <w:rsid w:val="00B83384"/>
    <w:rsid w:val="00B95C69"/>
    <w:rsid w:val="00BA3B20"/>
    <w:rsid w:val="00BB00F9"/>
    <w:rsid w:val="00BB5EE3"/>
    <w:rsid w:val="00BC2054"/>
    <w:rsid w:val="00BD5D21"/>
    <w:rsid w:val="00BE33DD"/>
    <w:rsid w:val="00BE48B9"/>
    <w:rsid w:val="00BF0A05"/>
    <w:rsid w:val="00BF1C4D"/>
    <w:rsid w:val="00BF23A2"/>
    <w:rsid w:val="00BF4E6E"/>
    <w:rsid w:val="00C00F61"/>
    <w:rsid w:val="00C11C9C"/>
    <w:rsid w:val="00C25877"/>
    <w:rsid w:val="00C308AF"/>
    <w:rsid w:val="00C34F9E"/>
    <w:rsid w:val="00C40D59"/>
    <w:rsid w:val="00C5038B"/>
    <w:rsid w:val="00C575AA"/>
    <w:rsid w:val="00C65CB6"/>
    <w:rsid w:val="00C66565"/>
    <w:rsid w:val="00C70BDE"/>
    <w:rsid w:val="00C75F4B"/>
    <w:rsid w:val="00C82676"/>
    <w:rsid w:val="00CA5F33"/>
    <w:rsid w:val="00CA7134"/>
    <w:rsid w:val="00CB41CC"/>
    <w:rsid w:val="00CC167C"/>
    <w:rsid w:val="00CD54D2"/>
    <w:rsid w:val="00CE27F5"/>
    <w:rsid w:val="00CE423F"/>
    <w:rsid w:val="00CF1499"/>
    <w:rsid w:val="00CF32CF"/>
    <w:rsid w:val="00D01CD1"/>
    <w:rsid w:val="00D05D4C"/>
    <w:rsid w:val="00D15677"/>
    <w:rsid w:val="00D179E0"/>
    <w:rsid w:val="00D62CD2"/>
    <w:rsid w:val="00D66DF3"/>
    <w:rsid w:val="00D716E5"/>
    <w:rsid w:val="00DA185B"/>
    <w:rsid w:val="00DA41F6"/>
    <w:rsid w:val="00DB1155"/>
    <w:rsid w:val="00DB6BD4"/>
    <w:rsid w:val="00DC3CA7"/>
    <w:rsid w:val="00DC461D"/>
    <w:rsid w:val="00DE3AEA"/>
    <w:rsid w:val="00DF6182"/>
    <w:rsid w:val="00E01EFA"/>
    <w:rsid w:val="00E04018"/>
    <w:rsid w:val="00E049DA"/>
    <w:rsid w:val="00E11CB8"/>
    <w:rsid w:val="00E160AD"/>
    <w:rsid w:val="00E16542"/>
    <w:rsid w:val="00E1737B"/>
    <w:rsid w:val="00E23E34"/>
    <w:rsid w:val="00E25D5C"/>
    <w:rsid w:val="00E321FB"/>
    <w:rsid w:val="00E35D22"/>
    <w:rsid w:val="00E47BCC"/>
    <w:rsid w:val="00E53908"/>
    <w:rsid w:val="00E665D0"/>
    <w:rsid w:val="00E814C8"/>
    <w:rsid w:val="00E823A9"/>
    <w:rsid w:val="00E83705"/>
    <w:rsid w:val="00E91380"/>
    <w:rsid w:val="00EB2321"/>
    <w:rsid w:val="00EB4645"/>
    <w:rsid w:val="00EC02EE"/>
    <w:rsid w:val="00EC687D"/>
    <w:rsid w:val="00EC6DAD"/>
    <w:rsid w:val="00ED3503"/>
    <w:rsid w:val="00EE39A0"/>
    <w:rsid w:val="00EE66FD"/>
    <w:rsid w:val="00EF4C95"/>
    <w:rsid w:val="00F05F5B"/>
    <w:rsid w:val="00F21AF6"/>
    <w:rsid w:val="00F24B54"/>
    <w:rsid w:val="00F376DD"/>
    <w:rsid w:val="00F420EE"/>
    <w:rsid w:val="00F5225A"/>
    <w:rsid w:val="00F5467D"/>
    <w:rsid w:val="00F657BA"/>
    <w:rsid w:val="00F67EB7"/>
    <w:rsid w:val="00F83DC2"/>
    <w:rsid w:val="00F86178"/>
    <w:rsid w:val="00F92968"/>
    <w:rsid w:val="00FA3BFB"/>
    <w:rsid w:val="00FB09D3"/>
    <w:rsid w:val="00FB32EE"/>
    <w:rsid w:val="00FC297C"/>
    <w:rsid w:val="00FC683A"/>
    <w:rsid w:val="00FC7735"/>
    <w:rsid w:val="00FD208A"/>
    <w:rsid w:val="00FE6341"/>
    <w:rsid w:val="00FE7D0C"/>
    <w:rsid w:val="00FF614F"/>
    <w:rsid w:val="00FF6E0D"/>
    <w:rsid w:val="506C4380"/>
    <w:rsid w:val="6C0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0FF8E"/>
  <w15:docId w15:val="{D23BFE4F-B788-4D33-8F83-A3A1F5B4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0"/>
    <w:next w:val="a0"/>
    <w:link w:val="10"/>
    <w:uiPriority w:val="9"/>
    <w:qFormat/>
    <w:rsid w:val="000A2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/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paragraph" w:styleId="a5">
    <w:name w:val="Balloon Text"/>
    <w:basedOn w:val="a0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9">
    <w:name w:val="footer"/>
    <w:basedOn w:val="a0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0"/>
    <w:uiPriority w:val="99"/>
    <w:semiHidden/>
    <w:unhideWhenUsed/>
  </w:style>
  <w:style w:type="table" w:styleId="ac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1"/>
    <w:qFormat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customStyle="1" w:styleId="3">
    <w:name w:val="Основной текст (3)_"/>
    <w:basedOn w:val="a1"/>
    <w:link w:val="30"/>
    <w:qFormat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30">
    <w:name w:val="Основной текст (3)"/>
    <w:basedOn w:val="a0"/>
    <w:link w:val="3"/>
    <w:qFormat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Exact">
    <w:name w:val="Основной текст (4) Exact"/>
    <w:basedOn w:val="a1"/>
    <w:qFormat/>
    <w:rPr>
      <w:rFonts w:ascii="Times New Roman" w:eastAsia="Times New Roman" w:hAnsi="Times New Roman" w:cs="Times New Roman"/>
      <w:b/>
      <w:bCs/>
      <w:sz w:val="30"/>
      <w:szCs w:val="30"/>
      <w:u w:val="none"/>
    </w:rPr>
  </w:style>
  <w:style w:type="character" w:customStyle="1" w:styleId="4">
    <w:name w:val="Основной текст (4)_"/>
    <w:basedOn w:val="a1"/>
    <w:link w:val="40"/>
    <w:qFormat/>
    <w:rPr>
      <w:rFonts w:ascii="Times New Roman" w:eastAsia="Times New Roman" w:hAnsi="Times New Roman" w:cs="Times New Roman"/>
      <w:b/>
      <w:bCs/>
      <w:sz w:val="30"/>
      <w:szCs w:val="30"/>
      <w:u w:val="none"/>
    </w:rPr>
  </w:style>
  <w:style w:type="paragraph" w:customStyle="1" w:styleId="40">
    <w:name w:val="Основной текст (4)"/>
    <w:basedOn w:val="a0"/>
    <w:link w:val="4"/>
    <w:qFormat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Основной текст (2)_"/>
    <w:basedOn w:val="a1"/>
    <w:link w:val="210"/>
    <w:qFormat/>
    <w:rPr>
      <w:rFonts w:ascii="Times New Roman" w:eastAsia="Times New Roman" w:hAnsi="Times New Roman" w:cs="Times New Roman"/>
      <w:sz w:val="30"/>
      <w:szCs w:val="30"/>
      <w:u w:val="none"/>
    </w:rPr>
  </w:style>
  <w:style w:type="paragraph" w:customStyle="1" w:styleId="210">
    <w:name w:val="Основной текст (2)1"/>
    <w:basedOn w:val="a0"/>
    <w:link w:val="21"/>
    <w:qFormat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5Exact">
    <w:name w:val="Основной текст (5) Exact"/>
    <w:basedOn w:val="a1"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1"/>
    <w:link w:val="50"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50">
    <w:name w:val="Основной текст (5)"/>
    <w:basedOn w:val="a0"/>
    <w:link w:val="5"/>
    <w:qFormat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d">
    <w:name w:val="Подпись к таблице_"/>
    <w:basedOn w:val="a1"/>
    <w:link w:val="ae"/>
    <w:qFormat/>
    <w:rPr>
      <w:rFonts w:ascii="Times New Roman" w:eastAsia="Times New Roman" w:hAnsi="Times New Roman" w:cs="Times New Roman"/>
      <w:sz w:val="30"/>
      <w:szCs w:val="30"/>
      <w:u w:val="none"/>
    </w:rPr>
  </w:style>
  <w:style w:type="paragraph" w:customStyle="1" w:styleId="ae">
    <w:name w:val="Подпись к таблице"/>
    <w:basedOn w:val="a0"/>
    <w:link w:val="ad"/>
    <w:qFormat/>
    <w:pPr>
      <w:shd w:val="clear" w:color="auto" w:fill="FFFFFF"/>
      <w:spacing w:line="341" w:lineRule="exact"/>
      <w:ind w:firstLine="74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2">
    <w:name w:val="Основной текст (2)"/>
    <w:basedOn w:val="2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Verdana32pt33">
    <w:name w:val="Основной текст (2) + Verdana;32 pt;Курсив;Масштаб 33%"/>
    <w:basedOn w:val="21"/>
    <w:qFormat/>
    <w:rPr>
      <w:rFonts w:ascii="Verdana" w:eastAsia="Verdana" w:hAnsi="Verdana" w:cs="Verdana"/>
      <w:i/>
      <w:iCs/>
      <w:color w:val="000000"/>
      <w:spacing w:val="0"/>
      <w:w w:val="33"/>
      <w:position w:val="0"/>
      <w:sz w:val="64"/>
      <w:szCs w:val="6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">
    <w:name w:val="Колонтитул_"/>
    <w:basedOn w:val="a1"/>
    <w:link w:val="11"/>
    <w:qFormat/>
    <w:rPr>
      <w:rFonts w:ascii="Times New Roman" w:eastAsia="Times New Roman" w:hAnsi="Times New Roman" w:cs="Times New Roman"/>
      <w:sz w:val="17"/>
      <w:szCs w:val="17"/>
      <w:u w:val="none"/>
    </w:rPr>
  </w:style>
  <w:style w:type="paragraph" w:customStyle="1" w:styleId="11">
    <w:name w:val="Колонтитул1"/>
    <w:basedOn w:val="a0"/>
    <w:link w:val="af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0">
    <w:name w:val="Колонтитул"/>
    <w:basedOn w:val="af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Верхний колонтитул Знак"/>
    <w:basedOn w:val="a1"/>
    <w:link w:val="a7"/>
    <w:uiPriority w:val="99"/>
    <w:qFormat/>
    <w:rPr>
      <w:color w:val="000000"/>
    </w:rPr>
  </w:style>
  <w:style w:type="character" w:customStyle="1" w:styleId="aa">
    <w:name w:val="Нижний колонтитул Знак"/>
    <w:basedOn w:val="a1"/>
    <w:link w:val="a9"/>
    <w:uiPriority w:val="99"/>
    <w:qFormat/>
    <w:rPr>
      <w:color w:val="000000"/>
    </w:rPr>
  </w:style>
  <w:style w:type="character" w:customStyle="1" w:styleId="a6">
    <w:name w:val="Текст выноски Знак"/>
    <w:basedOn w:val="a1"/>
    <w:link w:val="a5"/>
    <w:uiPriority w:val="99"/>
    <w:semiHidden/>
    <w:qFormat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0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table" w:customStyle="1" w:styleId="12">
    <w:name w:val="Сетка таблицы1"/>
    <w:basedOn w:val="a2"/>
    <w:uiPriority w:val="39"/>
    <w:qFormat/>
    <w:rPr>
      <w:rFonts w:eastAsia="Calibr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A2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7BBC-2A97-49F7-B630-AA5D3111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1139</Words>
  <Characters>6497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pzgs</dc:creator>
  <cp:lastModifiedBy>Данилюк О.А.</cp:lastModifiedBy>
  <cp:revision>2</cp:revision>
  <cp:lastPrinted>2023-03-29T07:05:00Z</cp:lastPrinted>
  <dcterms:created xsi:type="dcterms:W3CDTF">2023-06-12T13:32:00Z</dcterms:created>
  <dcterms:modified xsi:type="dcterms:W3CDTF">2023-06-12T13:32:00Z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C51EAD0F04AE486F9843766F11921883</vt:lpwstr>
  </property>
</Properties>
</file>